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/>
        <w:pict>
          <v:shape style="position:absolute;margin-left:125.000008pt;margin-top:221.999969pt;width:450pt;height:36pt;mso-position-horizontal-relative:page;mso-position-vertical-relative:page;z-index:-251898880" coordorigin="2500,4440" coordsize="9000,720" path="m11500,4440l3860,4440,3860,4680,3040,4680,3040,4920,2500,4920,2500,5160,11500,5160,11500,4920,11500,4680,11500,4440e" filled="true" fillcolor="#cccccc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4.000008pt;margin-top:287.999969pt;width:471pt;height:48pt;mso-position-horizontal-relative:page;mso-position-vertical-relative:page;z-index:-251897856" coordorigin="2080,5760" coordsize="9420,960" path="m11500,5760l3860,5760,3860,6000,3040,6000,3040,6240,2500,6240,2500,6480,2080,6480,2080,6720,11500,6720,11500,6480,11500,6240,11500,6000,11500,5760e" filled="true" fillcolor="#cccccc" stroked="false">
            <v:path arrowok="t"/>
            <v:fill type="solid"/>
            <w10:wrap type="none"/>
          </v:shape>
        </w:pict>
      </w: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- 2025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1546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19105 - Secretaria de Estado do Desenvolvimento Econômico e da Ciência e Tecnologia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jc w:val="left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jc w:val="left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10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5"/>
        <w:gridCol w:w="1825"/>
        <w:gridCol w:w="1700"/>
        <w:gridCol w:w="1320"/>
      </w:tblGrid>
      <w:tr>
        <w:trPr>
          <w:trHeight w:val="240" w:hRule="atLeast"/>
        </w:trPr>
        <w:tc>
          <w:tcPr>
            <w:tcW w:w="11100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/>
              <w:jc w:val="left"/>
              <w:rPr>
                <w:sz w:val="14"/>
              </w:rPr>
            </w:pPr>
            <w:r>
              <w:rPr>
                <w:sz w:val="14"/>
              </w:rPr>
              <w:t>1700 - Outras Transferências de Convênios ou Instrumentos Congêneres da União | Complemento de Execução Orçamentária: 0000</w:t>
            </w:r>
          </w:p>
        </w:tc>
      </w:tr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ind w:left="935"/>
              <w:jc w:val="left"/>
              <w:rPr>
                <w:sz w:val="14"/>
              </w:rPr>
            </w:pPr>
            <w:r>
              <w:rPr>
                <w:sz w:val="14"/>
              </w:rPr>
              <w:t>13210101 - Remuneração de Depósitos Bancários - Principal</w:t>
            </w:r>
          </w:p>
        </w:tc>
        <w:tc>
          <w:tcPr>
            <w:tcW w:w="1825" w:type="dxa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00" w:type="dxa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ind w:right="11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spacing w:before="39"/>
              <w:ind w:left="346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spacing w:before="39"/>
              <w:ind w:left="2640"/>
              <w:jc w:val="left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spacing w:before="39"/>
              <w:ind w:left="2100"/>
              <w:jc w:val="left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</w:tbl>
    <w:p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5"/>
        <w:gridCol w:w="1825"/>
        <w:gridCol w:w="1700"/>
        <w:gridCol w:w="1320"/>
      </w:tblGrid>
      <w:tr>
        <w:trPr>
          <w:trHeight w:val="240" w:hRule="atLeast"/>
        </w:trPr>
        <w:tc>
          <w:tcPr>
            <w:tcW w:w="11100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/>
              <w:jc w:val="left"/>
              <w:rPr>
                <w:sz w:val="14"/>
              </w:rPr>
            </w:pPr>
            <w:r>
              <w:rPr>
                <w:sz w:val="14"/>
              </w:rPr>
              <w:t>1755 - Recursos de Alienação de Bens/Ativos - Administração Direta | Complemento de Execução Orçamentária: 0000</w:t>
            </w:r>
          </w:p>
        </w:tc>
      </w:tr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ind w:left="935"/>
              <w:jc w:val="left"/>
              <w:rPr>
                <w:sz w:val="14"/>
              </w:rPr>
            </w:pPr>
            <w:r>
              <w:rPr>
                <w:sz w:val="14"/>
              </w:rPr>
              <w:t>22210101 - Alienação de Bens Imóveis - Principal</w:t>
            </w:r>
          </w:p>
        </w:tc>
        <w:tc>
          <w:tcPr>
            <w:tcW w:w="1825" w:type="dxa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ind w:right="117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6255" w:type="dxa"/>
          </w:tcPr>
          <w:p>
            <w:pPr>
              <w:pStyle w:val="TableParagraph"/>
              <w:spacing w:before="39"/>
              <w:ind w:left="346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spacing w:before="47"/>
              <w:ind w:left="2640"/>
              <w:jc w:val="left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7"/>
              <w:ind w:right="497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7"/>
              <w:ind w:right="117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9" w:hRule="atLeast"/>
        </w:trPr>
        <w:tc>
          <w:tcPr>
            <w:tcW w:w="6255" w:type="dxa"/>
          </w:tcPr>
          <w:p>
            <w:pPr>
              <w:pStyle w:val="TableParagraph"/>
              <w:spacing w:before="47"/>
              <w:ind w:left="2100"/>
              <w:jc w:val="left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7"/>
              <w:ind w:right="497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7"/>
              <w:ind w:right="117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6255" w:type="dxa"/>
          </w:tcPr>
          <w:p>
            <w:pPr>
              <w:pStyle w:val="TableParagraph"/>
              <w:spacing w:before="47"/>
              <w:ind w:left="1680"/>
              <w:jc w:val="left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7"/>
              <w:ind w:right="497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7"/>
              <w:ind w:right="117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4"/>
        </w:rPr>
      </w:pPr>
      <w:r>
        <w:rPr/>
        <w:pict>
          <v:shape style="position:absolute;margin-left:20pt;margin-top:9.538086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879" w:val="left" w:leader="none"/>
                      <w:tab w:pos="8579" w:val="left" w:leader="none"/>
                      <w:tab w:pos="10279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120.000,00</w:t>
                    <w:tab/>
                    <w:t>120.000,00</w:t>
                    <w:tab/>
                    <w:t>120.000,00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10:59:05,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2025-09-22T14:03:27Z</dcterms:created>
  <dcterms:modified xsi:type="dcterms:W3CDTF">2025-09-22T14:03:27Z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