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
        <w:rPr>
          <w:rFonts w:ascii="Times New Roman"/>
          <w:sz w:val="16"/>
        </w:rPr>
      </w:pPr>
      <w:r>
        <w:rPr/>
        <w:pict>
          <v:shape style="position:absolute;margin-left:576.757813pt;margin-top:415.914032pt;width:10.95pt;height:387.1pt;mso-position-horizontal-relative:page;mso-position-vertical-relative:page;z-index:251659264" type="#_x0000_t202" filled="false" stroked="false">
            <v:textbox inset="0,0,0,0" style="layout-flow:vertical;mso-layout-flow-alt:bottom-to-top">
              <w:txbxContent>
                <w:p>
                  <w:pPr>
                    <w:spacing w:before="14"/>
                    <w:ind w:left="20" w:right="0" w:firstLine="0"/>
                    <w:jc w:val="left"/>
                    <w:rPr>
                      <w:sz w:val="16"/>
                    </w:rPr>
                  </w:pPr>
                  <w:r>
                    <w:rPr>
                      <w:color w:val="A9A9A9"/>
                      <w:sz w:val="16"/>
                    </w:rPr>
                    <w:t>Este documento foi assinado via DocFlow por José Augusto Pereira de Carvalho e Valmor Barbosa Bezerra</w:t>
                  </w:r>
                </w:p>
              </w:txbxContent>
            </v:textbox>
            <w10:wrap type="none"/>
          </v:shape>
        </w:pict>
      </w:r>
    </w:p>
    <w:p>
      <w:pPr>
        <w:pStyle w:val="Heading2"/>
        <w:spacing w:before="93"/>
        <w:ind w:left="599" w:right="94"/>
        <w:jc w:val="center"/>
        <w:rPr>
          <w:u w:val="none"/>
        </w:rPr>
      </w:pPr>
      <w:r>
        <w:rPr>
          <w:u w:val="none"/>
        </w:rPr>
        <w:t>TERMO DE FOMENTO Nº 04/2024</w:t>
      </w:r>
    </w:p>
    <w:p>
      <w:pPr>
        <w:pStyle w:val="BodyText"/>
        <w:rPr>
          <w:b/>
        </w:rPr>
      </w:pPr>
    </w:p>
    <w:p>
      <w:pPr>
        <w:tabs>
          <w:tab w:pos="7715" w:val="left" w:leader="none"/>
          <w:tab w:pos="8774" w:val="left" w:leader="none"/>
          <w:tab w:pos="10482" w:val="left" w:leader="none"/>
        </w:tabs>
        <w:spacing w:before="0"/>
        <w:ind w:left="5456" w:right="114" w:firstLine="0"/>
        <w:jc w:val="both"/>
        <w:rPr>
          <w:b/>
          <w:sz w:val="24"/>
        </w:rPr>
      </w:pPr>
      <w:r>
        <w:rPr>
          <w:b/>
          <w:sz w:val="24"/>
        </w:rPr>
        <w:t>TERMO DE FOMENTO QUE CELEBRAM O </w:t>
      </w:r>
      <w:r>
        <w:rPr>
          <w:b/>
          <w:spacing w:val="-4"/>
          <w:sz w:val="24"/>
        </w:rPr>
        <w:t>ESTADO </w:t>
      </w:r>
      <w:r>
        <w:rPr>
          <w:b/>
          <w:sz w:val="24"/>
        </w:rPr>
        <w:t>DE SERGIPE, POR INTERMÉDIO DA </w:t>
      </w:r>
      <w:r>
        <w:rPr>
          <w:b/>
          <w:spacing w:val="-3"/>
          <w:sz w:val="24"/>
        </w:rPr>
        <w:t>SECRETARIA</w:t>
        <w:tab/>
      </w:r>
      <w:r>
        <w:rPr>
          <w:b/>
          <w:sz w:val="24"/>
        </w:rPr>
        <w:t>DE</w:t>
        <w:tab/>
      </w:r>
      <w:r>
        <w:rPr>
          <w:b/>
          <w:spacing w:val="-4"/>
          <w:sz w:val="24"/>
        </w:rPr>
        <w:t>ESTADO</w:t>
        <w:tab/>
      </w:r>
      <w:r>
        <w:rPr>
          <w:b/>
          <w:spacing w:val="-8"/>
          <w:sz w:val="24"/>
        </w:rPr>
        <w:t>DO </w:t>
      </w:r>
      <w:r>
        <w:rPr>
          <w:b/>
          <w:sz w:val="24"/>
        </w:rPr>
        <w:t>DESENVOLVIMENTO ECONÔMICO E DA CIÊNCIA E TECNOLOGIA - SEDETEC E O SERGIPE </w:t>
      </w:r>
      <w:r>
        <w:rPr>
          <w:b/>
          <w:spacing w:val="-4"/>
          <w:sz w:val="24"/>
        </w:rPr>
        <w:t>PARQUE </w:t>
      </w:r>
      <w:r>
        <w:rPr>
          <w:b/>
          <w:sz w:val="24"/>
        </w:rPr>
        <w:t>TECNOLÓGICO - SERGIPETEC, QUALIFICADO COMO ORGANIZAÇÃO SOCIAL</w:t>
      </w:r>
      <w:r>
        <w:rPr>
          <w:b/>
          <w:spacing w:val="-7"/>
          <w:sz w:val="24"/>
        </w:rPr>
        <w:t> </w:t>
      </w:r>
      <w:r>
        <w:rPr>
          <w:b/>
          <w:sz w:val="24"/>
        </w:rPr>
        <w:t>(OS).</w:t>
      </w:r>
    </w:p>
    <w:p>
      <w:pPr>
        <w:pStyle w:val="BodyText"/>
        <w:rPr>
          <w:b/>
        </w:rPr>
      </w:pPr>
    </w:p>
    <w:p>
      <w:pPr>
        <w:spacing w:before="0"/>
        <w:ind w:left="635" w:right="174" w:firstLine="856"/>
        <w:jc w:val="both"/>
        <w:rPr>
          <w:b/>
          <w:sz w:val="24"/>
        </w:rPr>
      </w:pPr>
      <w:r>
        <w:rPr>
          <w:sz w:val="24"/>
        </w:rPr>
        <w:t>O </w:t>
      </w:r>
      <w:r>
        <w:rPr>
          <w:b/>
          <w:spacing w:val="9"/>
          <w:sz w:val="24"/>
        </w:rPr>
        <w:t>ESTADO </w:t>
      </w:r>
      <w:r>
        <w:rPr>
          <w:b/>
          <w:spacing w:val="7"/>
          <w:sz w:val="24"/>
        </w:rPr>
        <w:t>DE </w:t>
      </w:r>
      <w:r>
        <w:rPr>
          <w:b/>
          <w:spacing w:val="13"/>
          <w:sz w:val="24"/>
        </w:rPr>
        <w:t>SERGIPE, </w:t>
      </w:r>
      <w:r>
        <w:rPr>
          <w:spacing w:val="13"/>
          <w:sz w:val="24"/>
        </w:rPr>
        <w:t>pessoa jurídica </w:t>
      </w:r>
      <w:r>
        <w:rPr>
          <w:spacing w:val="8"/>
          <w:sz w:val="24"/>
        </w:rPr>
        <w:t>de </w:t>
      </w:r>
      <w:r>
        <w:rPr>
          <w:spacing w:val="13"/>
          <w:sz w:val="24"/>
        </w:rPr>
        <w:t>direito público interno, </w:t>
      </w:r>
      <w:r>
        <w:rPr>
          <w:spacing w:val="10"/>
          <w:sz w:val="24"/>
        </w:rPr>
        <w:t>por </w:t>
      </w:r>
      <w:r>
        <w:rPr>
          <w:spacing w:val="19"/>
          <w:sz w:val="24"/>
        </w:rPr>
        <w:t>intermédio     </w:t>
      </w:r>
      <w:r>
        <w:rPr>
          <w:spacing w:val="10"/>
          <w:sz w:val="24"/>
        </w:rPr>
        <w:t>da     </w:t>
      </w:r>
      <w:r>
        <w:rPr>
          <w:b/>
          <w:spacing w:val="17"/>
          <w:sz w:val="24"/>
        </w:rPr>
        <w:t>SECRETARIA     </w:t>
      </w:r>
      <w:r>
        <w:rPr>
          <w:b/>
          <w:spacing w:val="11"/>
          <w:sz w:val="24"/>
        </w:rPr>
        <w:t>DE     </w:t>
      </w:r>
      <w:r>
        <w:rPr>
          <w:b/>
          <w:spacing w:val="14"/>
          <w:sz w:val="24"/>
        </w:rPr>
        <w:t>ESTADO     </w:t>
      </w:r>
      <w:r>
        <w:rPr>
          <w:b/>
          <w:spacing w:val="11"/>
          <w:sz w:val="24"/>
        </w:rPr>
        <w:t>DO  </w:t>
      </w:r>
      <w:r>
        <w:rPr>
          <w:b/>
          <w:spacing w:val="42"/>
          <w:sz w:val="24"/>
        </w:rPr>
        <w:t> </w:t>
      </w:r>
      <w:r>
        <w:rPr>
          <w:b/>
          <w:spacing w:val="18"/>
          <w:sz w:val="24"/>
        </w:rPr>
        <w:t>DESENVOLVIMENTO</w:t>
      </w:r>
    </w:p>
    <w:p>
      <w:pPr>
        <w:spacing w:before="0"/>
        <w:ind w:left="635" w:right="177" w:firstLine="0"/>
        <w:jc w:val="both"/>
        <w:rPr>
          <w:sz w:val="24"/>
        </w:rPr>
      </w:pPr>
      <w:r>
        <w:rPr>
          <w:b/>
          <w:spacing w:val="15"/>
          <w:sz w:val="24"/>
        </w:rPr>
        <w:t>ECONÔMICO </w:t>
      </w:r>
      <w:r>
        <w:rPr>
          <w:b/>
          <w:sz w:val="24"/>
        </w:rPr>
        <w:t>E </w:t>
      </w:r>
      <w:r>
        <w:rPr>
          <w:b/>
          <w:spacing w:val="9"/>
          <w:sz w:val="24"/>
        </w:rPr>
        <w:t>DA </w:t>
      </w:r>
      <w:r>
        <w:rPr>
          <w:b/>
          <w:spacing w:val="14"/>
          <w:sz w:val="24"/>
        </w:rPr>
        <w:t>CIÊNCIA </w:t>
      </w:r>
      <w:r>
        <w:rPr>
          <w:b/>
          <w:sz w:val="24"/>
        </w:rPr>
        <w:t>E </w:t>
      </w:r>
      <w:r>
        <w:rPr>
          <w:b/>
          <w:spacing w:val="15"/>
          <w:sz w:val="24"/>
        </w:rPr>
        <w:t>TECNOLOGIA- SEDETEC, </w:t>
      </w:r>
      <w:r>
        <w:rPr>
          <w:spacing w:val="15"/>
          <w:sz w:val="24"/>
        </w:rPr>
        <w:t>doravante denominada </w:t>
      </w:r>
      <w:r>
        <w:rPr>
          <w:b/>
          <w:spacing w:val="5"/>
          <w:sz w:val="24"/>
        </w:rPr>
        <w:t>CONCEDENTE, </w:t>
      </w:r>
      <w:r>
        <w:rPr>
          <w:spacing w:val="4"/>
          <w:sz w:val="24"/>
        </w:rPr>
        <w:t>inscrita </w:t>
      </w:r>
      <w:r>
        <w:rPr>
          <w:spacing w:val="3"/>
          <w:sz w:val="24"/>
        </w:rPr>
        <w:t>no </w:t>
      </w:r>
      <w:r>
        <w:rPr>
          <w:spacing w:val="4"/>
          <w:sz w:val="24"/>
        </w:rPr>
        <w:t>Cadastro Nacional </w:t>
      </w:r>
      <w:r>
        <w:rPr>
          <w:sz w:val="24"/>
        </w:rPr>
        <w:t>de </w:t>
      </w:r>
      <w:r>
        <w:rPr>
          <w:spacing w:val="4"/>
          <w:sz w:val="24"/>
        </w:rPr>
        <w:t>Pessoas </w:t>
      </w:r>
      <w:r>
        <w:rPr>
          <w:spacing w:val="5"/>
          <w:sz w:val="24"/>
        </w:rPr>
        <w:t>Jurídicas </w:t>
      </w:r>
      <w:r>
        <w:rPr>
          <w:sz w:val="24"/>
        </w:rPr>
        <w:t>- </w:t>
      </w:r>
      <w:r>
        <w:rPr>
          <w:spacing w:val="4"/>
          <w:sz w:val="24"/>
        </w:rPr>
        <w:t>CNPJ </w:t>
      </w:r>
      <w:r>
        <w:rPr>
          <w:spacing w:val="3"/>
          <w:sz w:val="24"/>
        </w:rPr>
        <w:t>sob </w:t>
      </w:r>
      <w:r>
        <w:rPr>
          <w:sz w:val="24"/>
        </w:rPr>
        <w:t>o </w:t>
      </w:r>
      <w:r>
        <w:rPr>
          <w:spacing w:val="3"/>
          <w:sz w:val="24"/>
        </w:rPr>
        <w:t>n.º </w:t>
      </w:r>
      <w:r>
        <w:rPr>
          <w:spacing w:val="7"/>
          <w:sz w:val="24"/>
        </w:rPr>
        <w:t>34.849.691/0001-14, </w:t>
      </w:r>
      <w:r>
        <w:rPr>
          <w:spacing w:val="5"/>
          <w:sz w:val="24"/>
        </w:rPr>
        <w:t>com sede </w:t>
      </w:r>
      <w:r>
        <w:rPr>
          <w:spacing w:val="4"/>
          <w:sz w:val="24"/>
        </w:rPr>
        <w:t>na </w:t>
      </w:r>
      <w:r>
        <w:rPr>
          <w:spacing w:val="-3"/>
          <w:sz w:val="24"/>
        </w:rPr>
        <w:t>Av. </w:t>
      </w:r>
      <w:r>
        <w:rPr>
          <w:spacing w:val="6"/>
          <w:sz w:val="24"/>
        </w:rPr>
        <w:t>Empresário </w:t>
      </w:r>
      <w:r>
        <w:rPr>
          <w:spacing w:val="5"/>
          <w:sz w:val="24"/>
        </w:rPr>
        <w:t>José </w:t>
      </w:r>
      <w:r>
        <w:rPr>
          <w:spacing w:val="6"/>
          <w:sz w:val="24"/>
        </w:rPr>
        <w:t>Carlos Silva, 4.444, Bairro Inácio Barbosa </w:t>
      </w:r>
      <w:r>
        <w:rPr>
          <w:sz w:val="24"/>
        </w:rPr>
        <w:t>- </w:t>
      </w:r>
      <w:r>
        <w:rPr>
          <w:spacing w:val="6"/>
          <w:sz w:val="24"/>
        </w:rPr>
        <w:t>Aracaju/SE, </w:t>
      </w:r>
      <w:r>
        <w:rPr>
          <w:spacing w:val="5"/>
          <w:sz w:val="24"/>
        </w:rPr>
        <w:t>CEP: </w:t>
      </w:r>
      <w:r>
        <w:rPr>
          <w:spacing w:val="6"/>
          <w:sz w:val="24"/>
        </w:rPr>
        <w:t>49040-850, </w:t>
      </w:r>
      <w:r>
        <w:rPr>
          <w:sz w:val="24"/>
        </w:rPr>
        <w:t>doravante denominada </w:t>
      </w:r>
      <w:r>
        <w:rPr>
          <w:b/>
          <w:sz w:val="24"/>
        </w:rPr>
        <w:t>ÓRGÃO SUPERVISOR, </w:t>
      </w:r>
      <w:r>
        <w:rPr>
          <w:spacing w:val="6"/>
          <w:sz w:val="24"/>
        </w:rPr>
        <w:t>neste </w:t>
      </w:r>
      <w:r>
        <w:rPr>
          <w:spacing w:val="5"/>
          <w:sz w:val="24"/>
        </w:rPr>
        <w:t>ato </w:t>
      </w:r>
      <w:r>
        <w:rPr>
          <w:spacing w:val="7"/>
          <w:sz w:val="24"/>
        </w:rPr>
        <w:t>representado </w:t>
      </w:r>
      <w:r>
        <w:rPr>
          <w:spacing w:val="5"/>
          <w:sz w:val="24"/>
        </w:rPr>
        <w:t>pelo </w:t>
      </w:r>
      <w:r>
        <w:rPr>
          <w:spacing w:val="6"/>
          <w:sz w:val="24"/>
        </w:rPr>
        <w:t>Secretário </w:t>
      </w:r>
      <w:r>
        <w:rPr>
          <w:spacing w:val="3"/>
          <w:sz w:val="24"/>
        </w:rPr>
        <w:t>de </w:t>
      </w:r>
      <w:r>
        <w:rPr>
          <w:spacing w:val="4"/>
          <w:sz w:val="24"/>
        </w:rPr>
        <w:t>Estado, </w:t>
      </w:r>
      <w:r>
        <w:rPr>
          <w:b/>
          <w:spacing w:val="-4"/>
          <w:sz w:val="24"/>
        </w:rPr>
        <w:t>VALMOR</w:t>
      </w:r>
      <w:r>
        <w:rPr>
          <w:b/>
          <w:spacing w:val="58"/>
          <w:sz w:val="24"/>
        </w:rPr>
        <w:t> </w:t>
      </w:r>
      <w:r>
        <w:rPr>
          <w:b/>
          <w:sz w:val="24"/>
        </w:rPr>
        <w:t>BARBOSA BEZERRA</w:t>
      </w:r>
      <w:r>
        <w:rPr>
          <w:sz w:val="24"/>
        </w:rPr>
        <w:t>, brasileiro, casado, inscrito no CPF nº XXX.018.12X-XX, portador da cédula de identidade nº XX8.6XX SSP/SE, residente e domiciliado na cidade de Aracaju/SE, designado conforme ato do Governador do Estado de Sergipe, publicado no D.O.E. Suplemento de nº 29.070, página  3, no dia 09/01/2023 e o </w:t>
      </w:r>
      <w:r>
        <w:rPr>
          <w:b/>
          <w:sz w:val="24"/>
        </w:rPr>
        <w:t>SERGIPE </w:t>
      </w:r>
      <w:r>
        <w:rPr>
          <w:b/>
          <w:spacing w:val="-4"/>
          <w:sz w:val="24"/>
        </w:rPr>
        <w:t>PARQUE </w:t>
      </w:r>
      <w:r>
        <w:rPr>
          <w:b/>
          <w:sz w:val="24"/>
        </w:rPr>
        <w:t>TECNOLÓGICO </w:t>
      </w:r>
      <w:r>
        <w:rPr>
          <w:sz w:val="24"/>
        </w:rPr>
        <w:t>- </w:t>
      </w:r>
      <w:r>
        <w:rPr>
          <w:b/>
          <w:sz w:val="24"/>
        </w:rPr>
        <w:t>SERGIPETEC, </w:t>
      </w:r>
      <w:r>
        <w:rPr>
          <w:b/>
          <w:spacing w:val="17"/>
          <w:sz w:val="24"/>
        </w:rPr>
        <w:t>QUALIFICADA   </w:t>
      </w:r>
      <w:r>
        <w:rPr>
          <w:b/>
          <w:sz w:val="24"/>
        </w:rPr>
        <w:t>COMO   ORGANIZAÇÃO   SOCIAL   (OS)   NO   </w:t>
      </w:r>
      <w:r>
        <w:rPr>
          <w:b/>
          <w:spacing w:val="-4"/>
          <w:sz w:val="24"/>
        </w:rPr>
        <w:t>ESTADO </w:t>
      </w:r>
      <w:r>
        <w:rPr>
          <w:b/>
          <w:spacing w:val="58"/>
          <w:sz w:val="24"/>
        </w:rPr>
        <w:t> </w:t>
      </w:r>
      <w:r>
        <w:rPr>
          <w:b/>
          <w:sz w:val="24"/>
        </w:rPr>
        <w:t>DE</w:t>
      </w:r>
      <w:r>
        <w:rPr>
          <w:b/>
          <w:spacing w:val="1"/>
          <w:sz w:val="24"/>
        </w:rPr>
        <w:t> </w:t>
      </w:r>
      <w:r>
        <w:rPr>
          <w:b/>
          <w:sz w:val="24"/>
        </w:rPr>
        <w:t>SERGIPE</w:t>
      </w:r>
      <w:r>
        <w:rPr>
          <w:sz w:val="24"/>
        </w:rPr>
        <w:t>,</w:t>
      </w:r>
    </w:p>
    <w:p>
      <w:pPr>
        <w:pStyle w:val="BodyText"/>
        <w:ind w:left="635" w:right="178"/>
        <w:jc w:val="both"/>
      </w:pPr>
      <w:r>
        <w:rPr/>
        <w:t>doravante denominado </w:t>
      </w:r>
      <w:r>
        <w:rPr>
          <w:b/>
        </w:rPr>
        <w:t>PROPONENTE, </w:t>
      </w:r>
      <w:r>
        <w:rPr/>
        <w:t>com sede na Avenida José Conrado de Araújo, Bloco 3, Andar 1, Bairro Rosa Elze, São Cristóvão – SE, CEP: 49.100-000, inscrito no CNPJ sob o n°. 06.938.508/0001-11, neste ato representado por seu Diretor-Presidente </w:t>
      </w:r>
      <w:r>
        <w:rPr>
          <w:b/>
          <w:spacing w:val="4"/>
        </w:rPr>
        <w:t>JOSÉ AUGUSTO PEREIRA </w:t>
      </w:r>
      <w:r>
        <w:rPr>
          <w:b/>
          <w:spacing w:val="3"/>
        </w:rPr>
        <w:t>DE </w:t>
      </w:r>
      <w:r>
        <w:rPr>
          <w:b/>
          <w:spacing w:val="2"/>
        </w:rPr>
        <w:t>CARVALHO</w:t>
      </w:r>
      <w:r>
        <w:rPr>
          <w:spacing w:val="2"/>
        </w:rPr>
        <w:t>, </w:t>
      </w:r>
      <w:r>
        <w:rPr>
          <w:spacing w:val="5"/>
        </w:rPr>
        <w:t>brasileiro, engenheiro, </w:t>
      </w:r>
      <w:r>
        <w:rPr>
          <w:spacing w:val="4"/>
        </w:rPr>
        <w:t>casado, portador </w:t>
      </w:r>
      <w:r>
        <w:rPr>
          <w:spacing w:val="3"/>
        </w:rPr>
        <w:t>do </w:t>
      </w:r>
      <w:r>
        <w:rPr>
          <w:spacing w:val="4"/>
        </w:rPr>
        <w:t>CPF </w:t>
      </w:r>
      <w:r>
        <w:rPr>
          <w:spacing w:val="3"/>
        </w:rPr>
        <w:t>n° </w:t>
      </w:r>
      <w:r>
        <w:rPr>
          <w:spacing w:val="5"/>
        </w:rPr>
        <w:t>XXX.269.33X-XX </w:t>
      </w:r>
      <w:r>
        <w:rPr/>
        <w:t>e </w:t>
      </w:r>
      <w:r>
        <w:rPr>
          <w:spacing w:val="3"/>
        </w:rPr>
        <w:t>do </w:t>
      </w:r>
      <w:r>
        <w:rPr>
          <w:spacing w:val="4"/>
        </w:rPr>
        <w:t>R.G. </w:t>
      </w:r>
      <w:r>
        <w:rPr>
          <w:spacing w:val="3"/>
        </w:rPr>
        <w:t>n° </w:t>
      </w:r>
      <w:r>
        <w:rPr>
          <w:spacing w:val="5"/>
        </w:rPr>
        <w:t>XX.X80.6XX-X DETRAN/RJ, </w:t>
      </w:r>
      <w:r>
        <w:rPr>
          <w:spacing w:val="4"/>
        </w:rPr>
        <w:t>residente </w:t>
      </w:r>
      <w:r>
        <w:rPr/>
        <w:t>e </w:t>
      </w:r>
      <w:r>
        <w:rPr>
          <w:spacing w:val="4"/>
        </w:rPr>
        <w:t>domiciliado  </w:t>
      </w:r>
      <w:r>
        <w:rPr>
          <w:spacing w:val="3"/>
        </w:rPr>
        <w:t>na  Rua </w:t>
      </w:r>
      <w:r>
        <w:rPr>
          <w:spacing w:val="4"/>
        </w:rPr>
        <w:t>PXXX, 3XX, Ed. XXX </w:t>
      </w:r>
      <w:r>
        <w:rPr/>
        <w:t>– </w:t>
      </w:r>
      <w:r>
        <w:rPr>
          <w:spacing w:val="4"/>
        </w:rPr>
        <w:t>Apto </w:t>
      </w:r>
      <w:r>
        <w:rPr/>
        <w:t>nº </w:t>
      </w:r>
      <w:r>
        <w:rPr>
          <w:spacing w:val="4"/>
        </w:rPr>
        <w:t>1.XXX, </w:t>
      </w:r>
      <w:r>
        <w:rPr>
          <w:spacing w:val="5"/>
        </w:rPr>
        <w:t>Bairro </w:t>
      </w:r>
      <w:r>
        <w:rPr>
          <w:spacing w:val="4"/>
        </w:rPr>
        <w:t>XXX, </w:t>
      </w:r>
      <w:r>
        <w:rPr>
          <w:spacing w:val="3"/>
        </w:rPr>
        <w:t>CEP nº </w:t>
      </w:r>
      <w:r>
        <w:rPr>
          <w:spacing w:val="5"/>
        </w:rPr>
        <w:t>XX.X65-XXX, Aracaju/SE, resolvem </w:t>
      </w:r>
      <w:r>
        <w:rPr>
          <w:spacing w:val="4"/>
        </w:rPr>
        <w:t>celebrar </w:t>
      </w:r>
      <w:r>
        <w:rPr/>
        <w:t>o </w:t>
      </w:r>
      <w:r>
        <w:rPr>
          <w:spacing w:val="4"/>
        </w:rPr>
        <w:t>presente </w:t>
      </w:r>
      <w:r>
        <w:rPr>
          <w:b/>
          <w:spacing w:val="4"/>
        </w:rPr>
        <w:t>TERMO </w:t>
      </w:r>
      <w:r>
        <w:rPr>
          <w:b/>
          <w:spacing w:val="3"/>
        </w:rPr>
        <w:t>DE </w:t>
      </w:r>
      <w:r>
        <w:rPr>
          <w:b/>
          <w:spacing w:val="4"/>
        </w:rPr>
        <w:t>FOMENTO</w:t>
      </w:r>
      <w:r>
        <w:rPr>
          <w:spacing w:val="4"/>
        </w:rPr>
        <w:t>, com fulcro </w:t>
      </w:r>
      <w:r>
        <w:rPr/>
        <w:t>na  </w:t>
      </w:r>
      <w:r>
        <w:rPr>
          <w:spacing w:val="3"/>
        </w:rPr>
        <w:t>Lei  </w:t>
      </w:r>
      <w:r>
        <w:rPr>
          <w:spacing w:val="4"/>
        </w:rPr>
        <w:t>Federal  </w:t>
      </w:r>
      <w:r>
        <w:rPr/>
        <w:t>nº </w:t>
      </w:r>
      <w:r>
        <w:rPr>
          <w:spacing w:val="4"/>
        </w:rPr>
        <w:t>13.019, </w:t>
      </w:r>
      <w:r>
        <w:rPr/>
        <w:t>de 31 </w:t>
      </w:r>
      <w:r>
        <w:rPr>
          <w:spacing w:val="3"/>
        </w:rPr>
        <w:t>de </w:t>
      </w:r>
      <w:r>
        <w:rPr>
          <w:spacing w:val="4"/>
        </w:rPr>
        <w:t>Julho </w:t>
      </w:r>
      <w:r>
        <w:rPr>
          <w:spacing w:val="3"/>
        </w:rPr>
        <w:t>de </w:t>
      </w:r>
      <w:r>
        <w:rPr>
          <w:spacing w:val="4"/>
        </w:rPr>
        <w:t>2014, Decreto Federal </w:t>
      </w:r>
      <w:r>
        <w:rPr/>
        <w:t>nº </w:t>
      </w:r>
      <w:r>
        <w:rPr>
          <w:spacing w:val="4"/>
        </w:rPr>
        <w:t>8.726, </w:t>
      </w:r>
      <w:r>
        <w:rPr/>
        <w:t>de 27 </w:t>
      </w:r>
      <w:r>
        <w:rPr>
          <w:spacing w:val="3"/>
        </w:rPr>
        <w:t>de  </w:t>
      </w:r>
      <w:r>
        <w:rPr>
          <w:spacing w:val="4"/>
        </w:rPr>
        <w:t>abril  </w:t>
      </w:r>
      <w:r>
        <w:rPr>
          <w:spacing w:val="3"/>
        </w:rPr>
        <w:t>de  </w:t>
      </w:r>
      <w:r>
        <w:rPr>
          <w:spacing w:val="4"/>
        </w:rPr>
        <w:t>2016, Decreto Estadual </w:t>
      </w:r>
      <w:r>
        <w:rPr>
          <w:spacing w:val="3"/>
        </w:rPr>
        <w:t>nº </w:t>
      </w:r>
      <w:r>
        <w:rPr>
          <w:spacing w:val="4"/>
        </w:rPr>
        <w:t>30.874, </w:t>
      </w:r>
      <w:r>
        <w:rPr/>
        <w:t>de </w:t>
      </w:r>
      <w:r>
        <w:rPr>
          <w:spacing w:val="5"/>
        </w:rPr>
        <w:t>19/10/2017 </w:t>
      </w:r>
      <w:r>
        <w:rPr/>
        <w:t>e </w:t>
      </w:r>
      <w:r>
        <w:rPr>
          <w:spacing w:val="5"/>
        </w:rPr>
        <w:t>legislação pertinente, consoante  </w:t>
      </w:r>
      <w:r>
        <w:rPr/>
        <w:t>o  </w:t>
      </w:r>
      <w:r>
        <w:rPr>
          <w:b/>
          <w:spacing w:val="5"/>
        </w:rPr>
        <w:t>processo </w:t>
      </w:r>
      <w:r>
        <w:rPr>
          <w:b/>
          <w:spacing w:val="4"/>
        </w:rPr>
        <w:t>e-Doc </w:t>
      </w:r>
      <w:r>
        <w:rPr>
          <w:b/>
          <w:spacing w:val="2"/>
        </w:rPr>
        <w:t>nº </w:t>
      </w:r>
      <w:r>
        <w:rPr>
          <w:b/>
          <w:spacing w:val="4"/>
        </w:rPr>
        <w:t>629/2024 </w:t>
      </w:r>
      <w:r>
        <w:rPr>
          <w:b/>
        </w:rPr>
        <w:t>– </w:t>
      </w:r>
      <w:r>
        <w:rPr>
          <w:b/>
          <w:spacing w:val="5"/>
        </w:rPr>
        <w:t>SEDETEC </w:t>
      </w:r>
      <w:r>
        <w:rPr/>
        <w:t>e </w:t>
      </w:r>
      <w:r>
        <w:rPr>
          <w:spacing w:val="4"/>
        </w:rPr>
        <w:t>mediante </w:t>
      </w:r>
      <w:r>
        <w:rPr>
          <w:spacing w:val="3"/>
        </w:rPr>
        <w:t>as </w:t>
      </w:r>
      <w:r>
        <w:rPr>
          <w:spacing w:val="5"/>
        </w:rPr>
        <w:t>cláusulas </w:t>
      </w:r>
      <w:r>
        <w:rPr/>
        <w:t>e  </w:t>
      </w:r>
      <w:r>
        <w:rPr>
          <w:spacing w:val="5"/>
        </w:rPr>
        <w:t>condições  seguintes:</w:t>
      </w:r>
    </w:p>
    <w:p>
      <w:pPr>
        <w:pStyle w:val="BodyText"/>
        <w:rPr>
          <w:sz w:val="26"/>
        </w:rPr>
      </w:pPr>
    </w:p>
    <w:p>
      <w:pPr>
        <w:pStyle w:val="BodyText"/>
        <w:rPr>
          <w:sz w:val="22"/>
        </w:rPr>
      </w:pPr>
    </w:p>
    <w:p>
      <w:pPr>
        <w:pStyle w:val="Heading2"/>
        <w:spacing w:before="1"/>
        <w:jc w:val="both"/>
        <w:rPr>
          <w:u w:val="none"/>
        </w:rPr>
      </w:pPr>
      <w:r>
        <w:rPr>
          <w:u w:val="single"/>
        </w:rPr>
        <w:t>CLÁUSULA PRIMEIRA - DO OBJETO</w:t>
      </w:r>
    </w:p>
    <w:p>
      <w:pPr>
        <w:pStyle w:val="BodyText"/>
        <w:spacing w:before="11"/>
        <w:rPr>
          <w:b/>
          <w:sz w:val="15"/>
        </w:rPr>
      </w:pPr>
    </w:p>
    <w:p>
      <w:pPr>
        <w:pStyle w:val="BodyText"/>
        <w:tabs>
          <w:tab w:pos="3301" w:val="left" w:leader="none"/>
          <w:tab w:pos="3868" w:val="left" w:leader="none"/>
          <w:tab w:pos="5087" w:val="left" w:leader="none"/>
          <w:tab w:pos="5871" w:val="left" w:leader="none"/>
          <w:tab w:pos="6759" w:val="left" w:leader="none"/>
          <w:tab w:pos="8099" w:val="left" w:leader="none"/>
          <w:tab w:pos="8666" w:val="left" w:leader="none"/>
          <w:tab w:pos="10512" w:val="left" w:leader="none"/>
        </w:tabs>
        <w:spacing w:before="92"/>
        <w:ind w:left="1492"/>
      </w:pPr>
      <w:r>
        <w:rPr>
          <w:b/>
        </w:rPr>
        <w:t>1.1) </w:t>
      </w:r>
      <w:r>
        <w:rPr>
          <w:b/>
          <w:spacing w:val="12"/>
        </w:rPr>
        <w:t> </w:t>
      </w:r>
      <w:r>
        <w:rPr/>
        <w:t>Repasse</w:t>
        <w:tab/>
        <w:t>de</w:t>
        <w:tab/>
        <w:t>recursos</w:t>
        <w:tab/>
        <w:t>para</w:t>
        <w:tab/>
        <w:t>apoio</w:t>
        <w:tab/>
        <w:t>financeiro</w:t>
        <w:tab/>
        <w:t>ao</w:t>
        <w:tab/>
        <w:t>SERGIPETEC</w:t>
        <w:tab/>
        <w:t>no</w:t>
      </w:r>
    </w:p>
    <w:p>
      <w:pPr>
        <w:pStyle w:val="Heading2"/>
        <w:jc w:val="both"/>
        <w:rPr>
          <w:u w:val="none"/>
        </w:rPr>
      </w:pPr>
      <w:r>
        <w:rPr>
          <w:u w:val="none"/>
        </w:rPr>
        <w:t>“DESENVOLVIMENTO  DE  UM  SISTEMA DE  POTABILIDADE</w:t>
      </w:r>
      <w:r>
        <w:rPr>
          <w:spacing w:val="-13"/>
          <w:u w:val="none"/>
        </w:rPr>
        <w:t> </w:t>
      </w:r>
      <w:r>
        <w:rPr>
          <w:u w:val="none"/>
        </w:rPr>
        <w:t>DA ÁGUA SUBTERRÂNEA</w:t>
      </w:r>
    </w:p>
    <w:p>
      <w:pPr>
        <w:spacing w:before="0"/>
        <w:ind w:left="635" w:right="176" w:firstLine="0"/>
        <w:jc w:val="both"/>
        <w:rPr>
          <w:sz w:val="24"/>
        </w:rPr>
      </w:pPr>
      <w:r>
        <w:rPr>
          <w:b/>
          <w:sz w:val="24"/>
        </w:rPr>
        <w:t>DA REGIÃO DO SEMIÁRIDO SERGIPANO”, </w:t>
      </w:r>
      <w:r>
        <w:rPr>
          <w:sz w:val="24"/>
        </w:rPr>
        <w:t>decorrente de Emenda Parlamentar Não Impositiva à Lei Orçamentária Anual 2024, a ser executada pelo </w:t>
      </w:r>
      <w:r>
        <w:rPr>
          <w:b/>
          <w:sz w:val="24"/>
        </w:rPr>
        <w:t>PROPONENTE </w:t>
      </w:r>
      <w:r>
        <w:rPr>
          <w:sz w:val="24"/>
        </w:rPr>
        <w:t>com recursos oriundos do FUNTEC.</w:t>
      </w:r>
    </w:p>
    <w:p>
      <w:pPr>
        <w:pStyle w:val="BodyText"/>
        <w:rPr>
          <w:sz w:val="20"/>
        </w:rPr>
      </w:pPr>
    </w:p>
    <w:p>
      <w:pPr>
        <w:pStyle w:val="BodyText"/>
        <w:rPr>
          <w:sz w:val="20"/>
        </w:rPr>
      </w:pPr>
    </w:p>
    <w:p>
      <w:pPr>
        <w:pStyle w:val="BodyText"/>
        <w:spacing w:before="10"/>
        <w:rPr>
          <w:sz w:val="12"/>
        </w:rPr>
      </w:pPr>
      <w:r>
        <w:rPr/>
        <w:pict>
          <v:shape style="position:absolute;margin-left:56.700001pt;margin-top:9.432373pt;width:510.3pt;height:.1pt;mso-position-horizontal-relative:page;mso-position-vertical-relative:paragraph;z-index:-251658240;mso-wrap-distance-left:0;mso-wrap-distance-right:0" coordorigin="1134,189" coordsize="10206,0" path="m1134,189l11340,189e" filled="false" stroked="true" strokeweight=".1pt" strokecolor="#000000">
            <v:path arrowok="t"/>
            <v:stroke dashstyle="solid"/>
            <w10:wrap type="topAndBottom"/>
          </v:shape>
        </w:pict>
      </w:r>
    </w:p>
    <w:p>
      <w:pPr>
        <w:spacing w:after="0"/>
        <w:rPr>
          <w:sz w:val="12"/>
        </w:rPr>
        <w:sectPr>
          <w:headerReference w:type="default" r:id="rId5"/>
          <w:footerReference w:type="default" r:id="rId6"/>
          <w:type w:val="continuous"/>
          <w:pgSz w:w="11900" w:h="16840"/>
          <w:pgMar w:header="622" w:footer="520" w:top="3040" w:bottom="720" w:left="500" w:right="440"/>
          <w:pgNumType w:start="1"/>
        </w:sectPr>
      </w:pPr>
    </w:p>
    <w:p>
      <w:pPr>
        <w:pStyle w:val="BodyText"/>
        <w:rPr>
          <w:sz w:val="20"/>
        </w:rPr>
      </w:pPr>
      <w:r>
        <w:rPr/>
        <w:pict>
          <v:shape style="position:absolute;margin-left:576.757813pt;margin-top:415.914032pt;width:10.95pt;height:387.1pt;mso-position-horizontal-relative:page;mso-position-vertical-relative:page;z-index:251661312" type="#_x0000_t202" filled="false" stroked="false">
            <v:textbox inset="0,0,0,0" style="layout-flow:vertical;mso-layout-flow-alt:bottom-to-top">
              <w:txbxContent>
                <w:p>
                  <w:pPr>
                    <w:spacing w:before="14"/>
                    <w:ind w:left="20" w:right="0" w:firstLine="0"/>
                    <w:jc w:val="left"/>
                    <w:rPr>
                      <w:sz w:val="16"/>
                    </w:rPr>
                  </w:pPr>
                  <w:r>
                    <w:rPr>
                      <w:color w:val="A9A9A9"/>
                      <w:sz w:val="16"/>
                    </w:rPr>
                    <w:t>Este documento foi assinado via DocFlow por José Augusto Pereira de Carvalho e Valmor Barbosa Bezerra</w:t>
                  </w:r>
                </w:p>
              </w:txbxContent>
            </v:textbox>
            <w10:wrap type="none"/>
          </v:shape>
        </w:pict>
      </w:r>
    </w:p>
    <w:p>
      <w:pPr>
        <w:pStyle w:val="BodyText"/>
        <w:spacing w:before="6"/>
        <w:rPr>
          <w:sz w:val="20"/>
        </w:rPr>
      </w:pPr>
    </w:p>
    <w:p>
      <w:pPr>
        <w:pStyle w:val="Heading2"/>
        <w:spacing w:before="93"/>
        <w:rPr>
          <w:u w:val="none"/>
        </w:rPr>
      </w:pPr>
      <w:r>
        <w:rPr>
          <w:u w:val="single"/>
        </w:rPr>
        <w:t>CLÁUSULA SEGUNDA - DA VINCULAÇÃO DAS PEÇAS DOCUMENTAIS</w:t>
      </w:r>
    </w:p>
    <w:p>
      <w:pPr>
        <w:pStyle w:val="BodyText"/>
        <w:spacing w:before="11"/>
        <w:rPr>
          <w:b/>
          <w:sz w:val="15"/>
        </w:rPr>
      </w:pPr>
    </w:p>
    <w:p>
      <w:pPr>
        <w:spacing w:before="92"/>
        <w:ind w:left="635" w:right="178" w:firstLine="856"/>
        <w:jc w:val="both"/>
        <w:rPr>
          <w:sz w:val="24"/>
        </w:rPr>
      </w:pPr>
      <w:r>
        <w:rPr>
          <w:b/>
          <w:sz w:val="24"/>
        </w:rPr>
        <w:t>2.1) </w:t>
      </w:r>
      <w:r>
        <w:rPr>
          <w:sz w:val="24"/>
        </w:rPr>
        <w:t>O presente </w:t>
      </w:r>
      <w:r>
        <w:rPr>
          <w:b/>
          <w:spacing w:val="-4"/>
          <w:sz w:val="24"/>
        </w:rPr>
        <w:t>Termo</w:t>
      </w:r>
      <w:r>
        <w:rPr>
          <w:b/>
          <w:spacing w:val="58"/>
          <w:sz w:val="24"/>
        </w:rPr>
        <w:t> </w:t>
      </w:r>
      <w:r>
        <w:rPr>
          <w:b/>
          <w:sz w:val="24"/>
        </w:rPr>
        <w:t>de Fomento</w:t>
      </w:r>
      <w:r>
        <w:rPr>
          <w:sz w:val="24"/>
        </w:rPr>
        <w:t>, decorrente de </w:t>
      </w:r>
      <w:r>
        <w:rPr>
          <w:b/>
          <w:sz w:val="24"/>
        </w:rPr>
        <w:t>Emenda Parlamentar Não lmpositiva</w:t>
      </w:r>
      <w:r>
        <w:rPr>
          <w:sz w:val="24"/>
        </w:rPr>
        <w:t>, tem por objeto o apoio financeiro </w:t>
      </w:r>
      <w:r>
        <w:rPr>
          <w:b/>
          <w:sz w:val="24"/>
        </w:rPr>
        <w:t>para ações de investimento do Sergipe Parque </w:t>
      </w:r>
      <w:r>
        <w:rPr>
          <w:b/>
          <w:spacing w:val="-3"/>
          <w:sz w:val="24"/>
        </w:rPr>
        <w:t>Tecnológico </w:t>
      </w:r>
      <w:r>
        <w:rPr>
          <w:b/>
          <w:sz w:val="24"/>
        </w:rPr>
        <w:t>- SERGIPETEC</w:t>
      </w:r>
      <w:r>
        <w:rPr>
          <w:sz w:val="24"/>
        </w:rPr>
        <w:t>, conforme detalhado no Plano de Trabalho, integrante deste instrumento e independente de transcrição.</w:t>
      </w:r>
    </w:p>
    <w:p>
      <w:pPr>
        <w:pStyle w:val="BodyText"/>
        <w:rPr>
          <w:sz w:val="26"/>
        </w:rPr>
      </w:pPr>
    </w:p>
    <w:p>
      <w:pPr>
        <w:pStyle w:val="BodyText"/>
        <w:rPr>
          <w:sz w:val="22"/>
        </w:rPr>
      </w:pPr>
    </w:p>
    <w:p>
      <w:pPr>
        <w:pStyle w:val="Heading2"/>
        <w:rPr>
          <w:u w:val="none"/>
        </w:rPr>
      </w:pPr>
      <w:r>
        <w:rPr>
          <w:u w:val="single"/>
        </w:rPr>
        <w:t>CLÁUSULA TERCEIRA - DAS OBRIGAÇÕES GERAIS</w:t>
      </w:r>
    </w:p>
    <w:p>
      <w:pPr>
        <w:pStyle w:val="BodyText"/>
        <w:rPr>
          <w:b/>
          <w:sz w:val="16"/>
        </w:rPr>
      </w:pPr>
    </w:p>
    <w:p>
      <w:pPr>
        <w:pStyle w:val="ListParagraph"/>
        <w:numPr>
          <w:ilvl w:val="1"/>
          <w:numId w:val="1"/>
        </w:numPr>
        <w:tabs>
          <w:tab w:pos="1972" w:val="left" w:leader="none"/>
        </w:tabs>
        <w:spacing w:line="240" w:lineRule="auto" w:before="92" w:after="0"/>
        <w:ind w:left="1972" w:right="0" w:hanging="480"/>
        <w:jc w:val="left"/>
        <w:rPr>
          <w:b/>
          <w:sz w:val="24"/>
        </w:rPr>
      </w:pPr>
      <w:r>
        <w:rPr>
          <w:b/>
          <w:sz w:val="24"/>
        </w:rPr>
        <w:t>DA</w:t>
      </w:r>
      <w:r>
        <w:rPr>
          <w:b/>
          <w:spacing w:val="-10"/>
          <w:sz w:val="24"/>
        </w:rPr>
        <w:t> </w:t>
      </w:r>
      <w:r>
        <w:rPr>
          <w:b/>
          <w:sz w:val="24"/>
        </w:rPr>
        <w:t>SEDETEC:</w:t>
      </w:r>
    </w:p>
    <w:p>
      <w:pPr>
        <w:pStyle w:val="BodyText"/>
        <w:rPr>
          <w:b/>
        </w:rPr>
      </w:pPr>
    </w:p>
    <w:p>
      <w:pPr>
        <w:pStyle w:val="ListParagraph"/>
        <w:numPr>
          <w:ilvl w:val="2"/>
          <w:numId w:val="1"/>
        </w:numPr>
        <w:tabs>
          <w:tab w:pos="2746" w:val="left" w:leader="none"/>
        </w:tabs>
        <w:spacing w:line="240" w:lineRule="auto" w:before="0" w:after="0"/>
        <w:ind w:left="635" w:right="181" w:firstLine="1410"/>
        <w:jc w:val="both"/>
        <w:rPr>
          <w:sz w:val="24"/>
        </w:rPr>
      </w:pPr>
      <w:r>
        <w:rPr>
          <w:sz w:val="24"/>
        </w:rPr>
        <w:t>Transferir para o </w:t>
      </w:r>
      <w:r>
        <w:rPr>
          <w:b/>
          <w:sz w:val="24"/>
        </w:rPr>
        <w:t>PROPONENTE </w:t>
      </w:r>
      <w:r>
        <w:rPr>
          <w:sz w:val="24"/>
        </w:rPr>
        <w:t>os recursos financeiros previstos para a execução deste </w:t>
      </w:r>
      <w:r>
        <w:rPr>
          <w:spacing w:val="-6"/>
          <w:sz w:val="24"/>
        </w:rPr>
        <w:t>Termo </w:t>
      </w:r>
      <w:r>
        <w:rPr>
          <w:sz w:val="24"/>
        </w:rPr>
        <w:t>de Fomento, de acordo com a programação orçamentária e financeira  e o estabelecido no Cronograma de desembolso do Plano de</w:t>
      </w:r>
      <w:r>
        <w:rPr>
          <w:spacing w:val="-17"/>
          <w:sz w:val="24"/>
        </w:rPr>
        <w:t> </w:t>
      </w:r>
      <w:r>
        <w:rPr>
          <w:sz w:val="24"/>
        </w:rPr>
        <w:t>Trabalho;</w:t>
      </w:r>
    </w:p>
    <w:p>
      <w:pPr>
        <w:pStyle w:val="ListParagraph"/>
        <w:numPr>
          <w:ilvl w:val="2"/>
          <w:numId w:val="1"/>
        </w:numPr>
        <w:tabs>
          <w:tab w:pos="2732" w:val="left" w:leader="none"/>
        </w:tabs>
        <w:spacing w:line="240" w:lineRule="auto" w:before="1" w:after="0"/>
        <w:ind w:left="635" w:right="185" w:firstLine="1410"/>
        <w:jc w:val="both"/>
        <w:rPr>
          <w:sz w:val="24"/>
        </w:rPr>
      </w:pPr>
      <w:r>
        <w:rPr>
          <w:sz w:val="24"/>
        </w:rPr>
        <w:t>Designar Responsável pela elaboração do Relatório Técnico de que trata o art. 8° do Decreto (Estadual) nº 30.874/2017 E 59, da Lei</w:t>
      </w:r>
      <w:r>
        <w:rPr>
          <w:spacing w:val="-8"/>
          <w:sz w:val="24"/>
        </w:rPr>
        <w:t> </w:t>
      </w:r>
      <w:r>
        <w:rPr>
          <w:sz w:val="24"/>
        </w:rPr>
        <w:t>13.019/2014;</w:t>
      </w:r>
    </w:p>
    <w:p>
      <w:pPr>
        <w:pStyle w:val="ListParagraph"/>
        <w:numPr>
          <w:ilvl w:val="2"/>
          <w:numId w:val="1"/>
        </w:numPr>
        <w:tabs>
          <w:tab w:pos="2731" w:val="left" w:leader="none"/>
        </w:tabs>
        <w:spacing w:line="240" w:lineRule="auto" w:before="0" w:after="0"/>
        <w:ind w:left="2730" w:right="0" w:hanging="685"/>
        <w:jc w:val="both"/>
        <w:rPr>
          <w:sz w:val="24"/>
        </w:rPr>
      </w:pPr>
      <w:r>
        <w:rPr>
          <w:sz w:val="24"/>
        </w:rPr>
        <w:t>Instituir Comissão de Monitoramento e Avaliação - CMA, nos termos do</w:t>
      </w:r>
      <w:r>
        <w:rPr>
          <w:spacing w:val="-4"/>
          <w:sz w:val="24"/>
        </w:rPr>
        <w:t> </w:t>
      </w:r>
      <w:r>
        <w:rPr>
          <w:sz w:val="24"/>
        </w:rPr>
        <w:t>art.</w:t>
      </w:r>
    </w:p>
    <w:p>
      <w:pPr>
        <w:pStyle w:val="BodyText"/>
        <w:ind w:left="635"/>
        <w:jc w:val="both"/>
      </w:pPr>
      <w:r>
        <w:rPr/>
        <w:t>35, V, h, da Lei nº 13.019/2014;</w:t>
      </w:r>
    </w:p>
    <w:p>
      <w:pPr>
        <w:pStyle w:val="ListParagraph"/>
        <w:numPr>
          <w:ilvl w:val="2"/>
          <w:numId w:val="1"/>
        </w:numPr>
        <w:tabs>
          <w:tab w:pos="2767" w:val="left" w:leader="none"/>
        </w:tabs>
        <w:spacing w:line="240" w:lineRule="auto" w:before="0" w:after="0"/>
        <w:ind w:left="635" w:right="184" w:firstLine="1410"/>
        <w:jc w:val="both"/>
        <w:rPr>
          <w:sz w:val="24"/>
        </w:rPr>
      </w:pPr>
      <w:r>
        <w:rPr>
          <w:sz w:val="24"/>
        </w:rPr>
        <w:t>Realizar os atos e os procedimentos relativos à formalização, alteração, execução, acompanhamento , fiscalização, prestação de contas e, se for o caso, informações acerca de tomada de contas</w:t>
      </w:r>
      <w:r>
        <w:rPr>
          <w:spacing w:val="-4"/>
          <w:sz w:val="24"/>
        </w:rPr>
        <w:t> </w:t>
      </w:r>
      <w:r>
        <w:rPr>
          <w:sz w:val="24"/>
        </w:rPr>
        <w:t>especial;</w:t>
      </w:r>
    </w:p>
    <w:p>
      <w:pPr>
        <w:pStyle w:val="ListParagraph"/>
        <w:numPr>
          <w:ilvl w:val="2"/>
          <w:numId w:val="1"/>
        </w:numPr>
        <w:tabs>
          <w:tab w:pos="2744" w:val="left" w:leader="none"/>
        </w:tabs>
        <w:spacing w:line="240" w:lineRule="auto" w:before="0" w:after="0"/>
        <w:ind w:left="635" w:right="177" w:firstLine="1410"/>
        <w:jc w:val="both"/>
        <w:rPr>
          <w:sz w:val="24"/>
        </w:rPr>
      </w:pPr>
      <w:r>
        <w:rPr>
          <w:sz w:val="24"/>
        </w:rPr>
        <w:t>Acompanhar, fiscalizar e avaliar, sistematicamente, a execução do objeto deste </w:t>
      </w:r>
      <w:r>
        <w:rPr>
          <w:spacing w:val="-6"/>
          <w:sz w:val="24"/>
        </w:rPr>
        <w:t>Termo </w:t>
      </w:r>
      <w:r>
        <w:rPr>
          <w:sz w:val="24"/>
        </w:rPr>
        <w:t>de Fomento, comunicando ao </w:t>
      </w:r>
      <w:r>
        <w:rPr>
          <w:b/>
          <w:sz w:val="24"/>
        </w:rPr>
        <w:t>PROPONENTE </w:t>
      </w:r>
      <w:r>
        <w:rPr>
          <w:sz w:val="24"/>
        </w:rPr>
        <w:t>quaisquer irregularidades decorrentes do uso dos recursos públicos ou outras pendências de ordem técnica ou legal, bem como suspender a liberação de recursos, fixando o prazo estabelecido na legislação pertinente para saneamento ou apresentação de informações e</w:t>
      </w:r>
      <w:r>
        <w:rPr>
          <w:spacing w:val="-12"/>
          <w:sz w:val="24"/>
        </w:rPr>
        <w:t> </w:t>
      </w:r>
      <w:r>
        <w:rPr>
          <w:sz w:val="24"/>
        </w:rPr>
        <w:t>esclarecimentos;</w:t>
      </w:r>
    </w:p>
    <w:p>
      <w:pPr>
        <w:pStyle w:val="ListParagraph"/>
        <w:numPr>
          <w:ilvl w:val="2"/>
          <w:numId w:val="1"/>
        </w:numPr>
        <w:tabs>
          <w:tab w:pos="2762" w:val="left" w:leader="none"/>
        </w:tabs>
        <w:spacing w:line="240" w:lineRule="auto" w:before="0" w:after="0"/>
        <w:ind w:left="635" w:right="176" w:firstLine="1410"/>
        <w:jc w:val="both"/>
        <w:rPr>
          <w:sz w:val="24"/>
        </w:rPr>
      </w:pPr>
      <w:r>
        <w:rPr>
          <w:sz w:val="24"/>
        </w:rPr>
        <w:t>Retomar os bens públicos em poder do </w:t>
      </w:r>
      <w:r>
        <w:rPr>
          <w:b/>
          <w:sz w:val="24"/>
        </w:rPr>
        <w:t>PROPONENTE </w:t>
      </w:r>
      <w:r>
        <w:rPr>
          <w:sz w:val="24"/>
        </w:rPr>
        <w:t>na hipótese de inexecução por culpa exclusiva deste, exclusivamente para assegurar o atendimento de serviços essenciais à população, por ato próprio e independentemente de autorização judicial, a fim de realizar ou manter a execução das metas ou atividades pactuadas, nos termos do art. 62, inciso I, da Lei (Federal) nº</w:t>
      </w:r>
      <w:r>
        <w:rPr>
          <w:spacing w:val="-5"/>
          <w:sz w:val="24"/>
        </w:rPr>
        <w:t> </w:t>
      </w:r>
      <w:r>
        <w:rPr>
          <w:sz w:val="24"/>
        </w:rPr>
        <w:t>13.019/14;</w:t>
      </w:r>
    </w:p>
    <w:p>
      <w:pPr>
        <w:pStyle w:val="ListParagraph"/>
        <w:numPr>
          <w:ilvl w:val="2"/>
          <w:numId w:val="1"/>
        </w:numPr>
        <w:tabs>
          <w:tab w:pos="2770" w:val="left" w:leader="none"/>
        </w:tabs>
        <w:spacing w:line="240" w:lineRule="auto" w:before="0" w:after="0"/>
        <w:ind w:left="635" w:right="178" w:firstLine="1410"/>
        <w:jc w:val="both"/>
        <w:rPr>
          <w:sz w:val="24"/>
        </w:rPr>
      </w:pPr>
      <w:r>
        <w:rPr>
          <w:sz w:val="24"/>
        </w:rPr>
        <w:t>Assumir ou transferir a responsabilidade pela execução do restante do objeto previsto no Plano de Trabalho, no caso de paralisação, de modo a evitar sua descontinuidade, devendo ser considerado na prestação de contas o que foi executado pelo </w:t>
      </w:r>
      <w:r>
        <w:rPr>
          <w:b/>
          <w:sz w:val="24"/>
        </w:rPr>
        <w:t>PROPONENTE </w:t>
      </w:r>
      <w:r>
        <w:rPr>
          <w:sz w:val="24"/>
        </w:rPr>
        <w:t>até o momento em que a SEDETEC assumir essas responsabilidades, nos termos do art. 62, li, da Lei (Federal) nº</w:t>
      </w:r>
      <w:r>
        <w:rPr>
          <w:spacing w:val="-8"/>
          <w:sz w:val="24"/>
        </w:rPr>
        <w:t> </w:t>
      </w:r>
      <w:r>
        <w:rPr>
          <w:sz w:val="24"/>
        </w:rPr>
        <w:t>13.019/14;</w:t>
      </w:r>
    </w:p>
    <w:p>
      <w:pPr>
        <w:pStyle w:val="ListParagraph"/>
        <w:numPr>
          <w:ilvl w:val="2"/>
          <w:numId w:val="1"/>
        </w:numPr>
        <w:tabs>
          <w:tab w:pos="2732" w:val="left" w:leader="none"/>
        </w:tabs>
        <w:spacing w:line="240" w:lineRule="auto" w:before="0" w:after="0"/>
        <w:ind w:left="635" w:right="186" w:firstLine="1410"/>
        <w:jc w:val="both"/>
        <w:rPr>
          <w:sz w:val="24"/>
        </w:rPr>
      </w:pPr>
      <w:r>
        <w:rPr>
          <w:sz w:val="24"/>
        </w:rPr>
        <w:t>Reter a liberação dos recursos quando houver evidências de irregularidade na aplicação de parcela anteriormente recebida, nas hipóteses do art. 48 da Lei (Federal) nº 13.019/14;</w:t>
      </w:r>
    </w:p>
    <w:p>
      <w:pPr>
        <w:pStyle w:val="ListParagraph"/>
        <w:numPr>
          <w:ilvl w:val="2"/>
          <w:numId w:val="1"/>
        </w:numPr>
        <w:tabs>
          <w:tab w:pos="2744" w:val="left" w:leader="none"/>
        </w:tabs>
        <w:spacing w:line="240" w:lineRule="auto" w:before="0" w:after="0"/>
        <w:ind w:left="2744" w:right="0" w:hanging="698"/>
        <w:jc w:val="left"/>
        <w:rPr>
          <w:sz w:val="24"/>
        </w:rPr>
      </w:pPr>
      <w:r>
        <w:rPr>
          <w:sz w:val="24"/>
        </w:rPr>
        <w:t>Prorrogar</w:t>
      </w:r>
      <w:r>
        <w:rPr>
          <w:spacing w:val="13"/>
          <w:sz w:val="24"/>
        </w:rPr>
        <w:t> </w:t>
      </w:r>
      <w:r>
        <w:rPr>
          <w:sz w:val="24"/>
        </w:rPr>
        <w:t>de</w:t>
      </w:r>
      <w:r>
        <w:rPr>
          <w:spacing w:val="16"/>
          <w:sz w:val="24"/>
        </w:rPr>
        <w:t> </w:t>
      </w:r>
      <w:r>
        <w:rPr>
          <w:sz w:val="24"/>
        </w:rPr>
        <w:t>''ofício"</w:t>
      </w:r>
      <w:r>
        <w:rPr>
          <w:spacing w:val="14"/>
          <w:sz w:val="24"/>
        </w:rPr>
        <w:t> </w:t>
      </w:r>
      <w:r>
        <w:rPr>
          <w:sz w:val="24"/>
        </w:rPr>
        <w:t>a</w:t>
      </w:r>
      <w:r>
        <w:rPr>
          <w:spacing w:val="14"/>
          <w:sz w:val="24"/>
        </w:rPr>
        <w:t> </w:t>
      </w:r>
      <w:r>
        <w:rPr>
          <w:sz w:val="24"/>
        </w:rPr>
        <w:t>vigência</w:t>
      </w:r>
      <w:r>
        <w:rPr>
          <w:spacing w:val="13"/>
          <w:sz w:val="24"/>
        </w:rPr>
        <w:t> </w:t>
      </w:r>
      <w:r>
        <w:rPr>
          <w:sz w:val="24"/>
        </w:rPr>
        <w:t>do</w:t>
      </w:r>
      <w:r>
        <w:rPr>
          <w:spacing w:val="10"/>
          <w:sz w:val="24"/>
        </w:rPr>
        <w:t> </w:t>
      </w:r>
      <w:r>
        <w:rPr>
          <w:spacing w:val="-6"/>
          <w:sz w:val="24"/>
        </w:rPr>
        <w:t>Termo</w:t>
      </w:r>
      <w:r>
        <w:rPr>
          <w:spacing w:val="16"/>
          <w:sz w:val="24"/>
        </w:rPr>
        <w:t> </w:t>
      </w:r>
      <w:r>
        <w:rPr>
          <w:sz w:val="24"/>
        </w:rPr>
        <w:t>de</w:t>
      </w:r>
      <w:r>
        <w:rPr>
          <w:spacing w:val="14"/>
          <w:sz w:val="24"/>
        </w:rPr>
        <w:t> </w:t>
      </w:r>
      <w:r>
        <w:rPr>
          <w:sz w:val="24"/>
        </w:rPr>
        <w:t>Fomento,</w:t>
      </w:r>
      <w:r>
        <w:rPr>
          <w:spacing w:val="14"/>
          <w:sz w:val="24"/>
        </w:rPr>
        <w:t> </w:t>
      </w:r>
      <w:r>
        <w:rPr>
          <w:sz w:val="24"/>
        </w:rPr>
        <w:t>na</w:t>
      </w:r>
      <w:r>
        <w:rPr>
          <w:spacing w:val="16"/>
          <w:sz w:val="24"/>
        </w:rPr>
        <w:t> </w:t>
      </w:r>
      <w:r>
        <w:rPr>
          <w:sz w:val="24"/>
        </w:rPr>
        <w:t>hipótese</w:t>
      </w:r>
      <w:r>
        <w:rPr>
          <w:spacing w:val="17"/>
          <w:sz w:val="24"/>
        </w:rPr>
        <w:t> </w:t>
      </w:r>
      <w:r>
        <w:rPr>
          <w:sz w:val="24"/>
        </w:rPr>
        <w:t>do</w:t>
      </w:r>
      <w:r>
        <w:rPr>
          <w:spacing w:val="16"/>
          <w:sz w:val="24"/>
        </w:rPr>
        <w:t> </w:t>
      </w:r>
      <w:r>
        <w:rPr>
          <w:sz w:val="24"/>
        </w:rPr>
        <w:t>art.</w:t>
      </w:r>
    </w:p>
    <w:p>
      <w:pPr>
        <w:pStyle w:val="BodyText"/>
        <w:ind w:left="635"/>
      </w:pPr>
      <w:r>
        <w:rPr/>
        <w:t>55, parágrafo único, da Lei Federal nº 13.019/14.</w:t>
      </w:r>
    </w:p>
    <w:p>
      <w:pPr>
        <w:pStyle w:val="BodyText"/>
        <w:rPr>
          <w:sz w:val="20"/>
        </w:rPr>
      </w:pPr>
    </w:p>
    <w:p>
      <w:pPr>
        <w:pStyle w:val="BodyText"/>
        <w:rPr>
          <w:sz w:val="20"/>
        </w:rPr>
      </w:pPr>
    </w:p>
    <w:p>
      <w:pPr>
        <w:pStyle w:val="BodyText"/>
        <w:spacing w:before="10"/>
        <w:rPr>
          <w:sz w:val="12"/>
        </w:rPr>
      </w:pPr>
      <w:r>
        <w:rPr/>
        <w:pict>
          <v:shape style="position:absolute;margin-left:56.700001pt;margin-top:9.431982pt;width:510.3pt;height:.1pt;mso-position-horizontal-relative:page;mso-position-vertical-relative:paragraph;z-index:-251656192;mso-wrap-distance-left:0;mso-wrap-distance-right:0" coordorigin="1134,189" coordsize="10206,0" path="m1134,189l11340,189e" filled="false" stroked="true" strokeweight=".1pt" strokecolor="#000000">
            <v:path arrowok="t"/>
            <v:stroke dashstyle="solid"/>
            <w10:wrap type="topAndBottom"/>
          </v:shape>
        </w:pict>
      </w:r>
    </w:p>
    <w:p>
      <w:pPr>
        <w:spacing w:after="0"/>
        <w:rPr>
          <w:sz w:val="12"/>
        </w:rPr>
        <w:sectPr>
          <w:headerReference w:type="default" r:id="rId7"/>
          <w:footerReference w:type="default" r:id="rId8"/>
          <w:pgSz w:w="11900" w:h="16840"/>
          <w:pgMar w:header="622" w:footer="520" w:top="3040" w:bottom="720" w:left="500" w:right="440"/>
          <w:pgNumType w:start="2"/>
        </w:sectPr>
      </w:pPr>
    </w:p>
    <w:p>
      <w:pPr>
        <w:pStyle w:val="BodyText"/>
        <w:spacing w:before="6"/>
        <w:rPr>
          <w:sz w:val="16"/>
        </w:rPr>
      </w:pPr>
      <w:r>
        <w:rPr/>
        <w:pict>
          <v:shape style="position:absolute;margin-left:576.757813pt;margin-top:415.914032pt;width:10.95pt;height:387.1pt;mso-position-horizontal-relative:page;mso-position-vertical-relative:page;z-index:251663360" type="#_x0000_t202" filled="false" stroked="false">
            <v:textbox inset="0,0,0,0" style="layout-flow:vertical;mso-layout-flow-alt:bottom-to-top">
              <w:txbxContent>
                <w:p>
                  <w:pPr>
                    <w:spacing w:before="14"/>
                    <w:ind w:left="20" w:right="0" w:firstLine="0"/>
                    <w:jc w:val="left"/>
                    <w:rPr>
                      <w:sz w:val="16"/>
                    </w:rPr>
                  </w:pPr>
                  <w:r>
                    <w:rPr>
                      <w:color w:val="A9A9A9"/>
                      <w:sz w:val="16"/>
                    </w:rPr>
                    <w:t>Este documento foi assinado via DocFlow por José Augusto Pereira de Carvalho e Valmor Barbosa Bezerra</w:t>
                  </w:r>
                </w:p>
              </w:txbxContent>
            </v:textbox>
            <w10:wrap type="none"/>
          </v:shape>
        </w:pict>
      </w:r>
    </w:p>
    <w:p>
      <w:pPr>
        <w:pStyle w:val="Heading2"/>
        <w:numPr>
          <w:ilvl w:val="1"/>
          <w:numId w:val="1"/>
        </w:numPr>
        <w:tabs>
          <w:tab w:pos="2054" w:val="left" w:leader="none"/>
        </w:tabs>
        <w:spacing w:line="240" w:lineRule="auto" w:before="93" w:after="0"/>
        <w:ind w:left="2054" w:right="0" w:hanging="562"/>
        <w:jc w:val="left"/>
        <w:rPr>
          <w:u w:val="none"/>
        </w:rPr>
      </w:pPr>
      <w:r>
        <w:rPr>
          <w:u w:val="none"/>
        </w:rPr>
        <w:t>DO</w:t>
      </w:r>
      <w:r>
        <w:rPr>
          <w:spacing w:val="-1"/>
          <w:u w:val="none"/>
        </w:rPr>
        <w:t> </w:t>
      </w:r>
      <w:r>
        <w:rPr>
          <w:u w:val="none"/>
        </w:rPr>
        <w:t>PROPONENTE:</w:t>
      </w:r>
    </w:p>
    <w:p>
      <w:pPr>
        <w:pStyle w:val="BodyText"/>
        <w:rPr>
          <w:b/>
        </w:rPr>
      </w:pPr>
    </w:p>
    <w:p>
      <w:pPr>
        <w:pStyle w:val="ListParagraph"/>
        <w:numPr>
          <w:ilvl w:val="2"/>
          <w:numId w:val="2"/>
        </w:numPr>
        <w:tabs>
          <w:tab w:pos="2740" w:val="left" w:leader="none"/>
        </w:tabs>
        <w:spacing w:line="240" w:lineRule="auto" w:before="0" w:after="0"/>
        <w:ind w:left="635" w:right="178" w:firstLine="1410"/>
        <w:jc w:val="both"/>
        <w:rPr>
          <w:sz w:val="24"/>
        </w:rPr>
      </w:pPr>
      <w:r>
        <w:rPr>
          <w:sz w:val="24"/>
        </w:rPr>
        <w:t>Executar fielmente o objeto pactuado, de acordo com o Plano de Trabalho e o </w:t>
      </w:r>
      <w:r>
        <w:rPr>
          <w:spacing w:val="-6"/>
          <w:sz w:val="24"/>
        </w:rPr>
        <w:t>Termo </w:t>
      </w:r>
      <w:r>
        <w:rPr>
          <w:sz w:val="24"/>
        </w:rPr>
        <w:t>de Referência aprovados pela </w:t>
      </w:r>
      <w:r>
        <w:rPr>
          <w:b/>
          <w:sz w:val="24"/>
        </w:rPr>
        <w:t>SEDETEC</w:t>
      </w:r>
      <w:r>
        <w:rPr>
          <w:sz w:val="24"/>
        </w:rPr>
        <w:t>, adotando todas as medidas necessárias à correta execução deste </w:t>
      </w:r>
      <w:r>
        <w:rPr>
          <w:spacing w:val="-6"/>
          <w:sz w:val="24"/>
        </w:rPr>
        <w:t>Termo </w:t>
      </w:r>
      <w:r>
        <w:rPr>
          <w:sz w:val="24"/>
        </w:rPr>
        <w:t>de</w:t>
      </w:r>
      <w:r>
        <w:rPr>
          <w:spacing w:val="-3"/>
          <w:sz w:val="24"/>
        </w:rPr>
        <w:t> </w:t>
      </w:r>
      <w:r>
        <w:rPr>
          <w:sz w:val="24"/>
        </w:rPr>
        <w:t>Fomento;</w:t>
      </w:r>
    </w:p>
    <w:p>
      <w:pPr>
        <w:pStyle w:val="ListParagraph"/>
        <w:numPr>
          <w:ilvl w:val="2"/>
          <w:numId w:val="2"/>
        </w:numPr>
        <w:tabs>
          <w:tab w:pos="2725" w:val="left" w:leader="none"/>
        </w:tabs>
        <w:spacing w:line="240" w:lineRule="auto" w:before="0" w:after="0"/>
        <w:ind w:left="635" w:right="177" w:firstLine="1410"/>
        <w:jc w:val="both"/>
        <w:rPr>
          <w:sz w:val="24"/>
        </w:rPr>
      </w:pPr>
      <w:r>
        <w:rPr>
          <w:sz w:val="24"/>
        </w:rPr>
        <w:t>Aplicar os recursos discriminados no Plano de Trabalho exclusivamente no objeto do presente </w:t>
      </w:r>
      <w:r>
        <w:rPr>
          <w:spacing w:val="-6"/>
          <w:sz w:val="24"/>
        </w:rPr>
        <w:t>Termo </w:t>
      </w:r>
      <w:r>
        <w:rPr>
          <w:sz w:val="24"/>
        </w:rPr>
        <w:t>de</w:t>
      </w:r>
      <w:r>
        <w:rPr>
          <w:spacing w:val="2"/>
          <w:sz w:val="24"/>
        </w:rPr>
        <w:t> </w:t>
      </w:r>
      <w:r>
        <w:rPr>
          <w:sz w:val="24"/>
        </w:rPr>
        <w:t>Fomento;</w:t>
      </w:r>
    </w:p>
    <w:p>
      <w:pPr>
        <w:pStyle w:val="ListParagraph"/>
        <w:numPr>
          <w:ilvl w:val="2"/>
          <w:numId w:val="2"/>
        </w:numPr>
        <w:tabs>
          <w:tab w:pos="2786" w:val="left" w:leader="none"/>
        </w:tabs>
        <w:spacing w:line="240" w:lineRule="auto" w:before="0" w:after="0"/>
        <w:ind w:left="635" w:right="181" w:firstLine="1410"/>
        <w:jc w:val="both"/>
        <w:rPr>
          <w:sz w:val="24"/>
        </w:rPr>
      </w:pPr>
      <w:r>
        <w:rPr>
          <w:sz w:val="24"/>
        </w:rPr>
        <w:t>Executar e fiscalizar os trabalhos necessários à consecução do objeto pactuado no </w:t>
      </w:r>
      <w:r>
        <w:rPr>
          <w:spacing w:val="-6"/>
          <w:sz w:val="24"/>
        </w:rPr>
        <w:t>Termo </w:t>
      </w:r>
      <w:r>
        <w:rPr>
          <w:sz w:val="24"/>
        </w:rPr>
        <w:t>de Fomento, inclusive os serviços eventualmente contratados, observando a qualidade, quantidade , prazos e custos definidos no Plano de</w:t>
      </w:r>
      <w:r>
        <w:rPr>
          <w:spacing w:val="-21"/>
          <w:sz w:val="24"/>
        </w:rPr>
        <w:t> </w:t>
      </w:r>
      <w:r>
        <w:rPr>
          <w:sz w:val="24"/>
        </w:rPr>
        <w:t>Trabalho;</w:t>
      </w:r>
    </w:p>
    <w:p>
      <w:pPr>
        <w:pStyle w:val="ListParagraph"/>
        <w:numPr>
          <w:ilvl w:val="2"/>
          <w:numId w:val="2"/>
        </w:numPr>
        <w:tabs>
          <w:tab w:pos="2743" w:val="left" w:leader="none"/>
        </w:tabs>
        <w:spacing w:line="240" w:lineRule="auto" w:before="0" w:after="0"/>
        <w:ind w:left="635" w:right="177" w:firstLine="1410"/>
        <w:jc w:val="both"/>
        <w:rPr>
          <w:sz w:val="24"/>
        </w:rPr>
      </w:pPr>
      <w:r>
        <w:rPr>
          <w:sz w:val="24"/>
        </w:rPr>
        <w:t>Elaborar os projetos técnicos relacionados ao objeto pactuado, reunir toda documentação jurídica e institucional necessária à celebração deste </w:t>
      </w:r>
      <w:r>
        <w:rPr>
          <w:spacing w:val="-6"/>
          <w:sz w:val="24"/>
        </w:rPr>
        <w:t>Termo </w:t>
      </w:r>
      <w:r>
        <w:rPr>
          <w:sz w:val="24"/>
        </w:rPr>
        <w:t>de Fomento, de acordo com os normativos do programa, bem como apresentar documentos de titularidade dominial da área de intervenção, licenças e aprovações de projetos emitidos pelo órgão ambiental competente, órgão ou entidade da esfera municipal, estadual, do Distrito Federal ou Federal, e concessionárias de serviços públicos, conforme o caso, e nos termos da legislação aplicável;</w:t>
      </w:r>
    </w:p>
    <w:p>
      <w:pPr>
        <w:pStyle w:val="ListParagraph"/>
        <w:numPr>
          <w:ilvl w:val="2"/>
          <w:numId w:val="2"/>
        </w:numPr>
        <w:tabs>
          <w:tab w:pos="2731" w:val="left" w:leader="none"/>
        </w:tabs>
        <w:spacing w:line="240" w:lineRule="auto" w:before="0" w:after="0"/>
        <w:ind w:left="635" w:right="179" w:firstLine="1410"/>
        <w:jc w:val="both"/>
        <w:rPr>
          <w:sz w:val="24"/>
        </w:rPr>
      </w:pPr>
      <w:r>
        <w:rPr>
          <w:sz w:val="24"/>
        </w:rPr>
        <w:t>Não utilizar os recursos recebidos nas finalidades vedadas pelo inciso X do art. 167 da Constituição e pelo art. 45 da Lei (Federal) nº</w:t>
      </w:r>
      <w:r>
        <w:rPr>
          <w:spacing w:val="-8"/>
          <w:sz w:val="24"/>
        </w:rPr>
        <w:t> </w:t>
      </w:r>
      <w:r>
        <w:rPr>
          <w:sz w:val="24"/>
        </w:rPr>
        <w:t>13.019/2014;</w:t>
      </w:r>
    </w:p>
    <w:p>
      <w:pPr>
        <w:pStyle w:val="ListParagraph"/>
        <w:numPr>
          <w:ilvl w:val="2"/>
          <w:numId w:val="2"/>
        </w:numPr>
        <w:tabs>
          <w:tab w:pos="2767" w:val="left" w:leader="none"/>
        </w:tabs>
        <w:spacing w:line="240" w:lineRule="auto" w:before="0" w:after="0"/>
        <w:ind w:left="635" w:right="181" w:firstLine="1410"/>
        <w:jc w:val="both"/>
        <w:rPr>
          <w:sz w:val="24"/>
        </w:rPr>
      </w:pPr>
      <w:r>
        <w:rPr>
          <w:sz w:val="24"/>
        </w:rPr>
        <w:t>Assegurar, na sua integralidade, a qualidade técnica dos projetos e da execução dos produtos e serviços contratados, em conformidade com as normas brasileiras e os normativos dos programas, ações e atividades, determinando a correção de vícios que possam comprometer a fruição do benefício pela população beneficiária, quando detectados pela SEDETEC ou pelos órgãos de controle;</w:t>
      </w:r>
    </w:p>
    <w:p>
      <w:pPr>
        <w:pStyle w:val="ListParagraph"/>
        <w:numPr>
          <w:ilvl w:val="2"/>
          <w:numId w:val="2"/>
        </w:numPr>
        <w:tabs>
          <w:tab w:pos="2785" w:val="left" w:leader="none"/>
        </w:tabs>
        <w:spacing w:line="240" w:lineRule="auto" w:before="0" w:after="0"/>
        <w:ind w:left="635" w:right="177" w:firstLine="1410"/>
        <w:jc w:val="both"/>
        <w:rPr>
          <w:sz w:val="24"/>
        </w:rPr>
      </w:pPr>
      <w:r>
        <w:rPr>
          <w:sz w:val="24"/>
        </w:rPr>
        <w:t>Submeter previamente à </w:t>
      </w:r>
      <w:r>
        <w:rPr>
          <w:b/>
          <w:sz w:val="24"/>
        </w:rPr>
        <w:t>SEDETEC </w:t>
      </w:r>
      <w:r>
        <w:rPr>
          <w:sz w:val="24"/>
        </w:rPr>
        <w:t>qualquer proposta de alteração do Plano de Trabalho aprovado, na forma definida neste instrumento, observadas as vedações relativas à execução das</w:t>
      </w:r>
      <w:r>
        <w:rPr>
          <w:spacing w:val="1"/>
          <w:sz w:val="24"/>
        </w:rPr>
        <w:t> </w:t>
      </w:r>
      <w:r>
        <w:rPr>
          <w:sz w:val="24"/>
        </w:rPr>
        <w:t>despesas;</w:t>
      </w:r>
    </w:p>
    <w:p>
      <w:pPr>
        <w:pStyle w:val="ListParagraph"/>
        <w:numPr>
          <w:ilvl w:val="2"/>
          <w:numId w:val="2"/>
        </w:numPr>
        <w:tabs>
          <w:tab w:pos="2755" w:val="left" w:leader="none"/>
        </w:tabs>
        <w:spacing w:line="240" w:lineRule="auto" w:before="0" w:after="0"/>
        <w:ind w:left="635" w:right="180" w:firstLine="1410"/>
        <w:jc w:val="both"/>
        <w:rPr>
          <w:sz w:val="24"/>
        </w:rPr>
      </w:pPr>
      <w:r>
        <w:rPr>
          <w:sz w:val="24"/>
        </w:rPr>
        <w:t>Manter e movimentar os recursos financeiros de que trata este </w:t>
      </w:r>
      <w:r>
        <w:rPr>
          <w:spacing w:val="-6"/>
          <w:sz w:val="24"/>
        </w:rPr>
        <w:t>Termo </w:t>
      </w:r>
      <w:r>
        <w:rPr>
          <w:sz w:val="24"/>
        </w:rPr>
        <w:t>de Fomento em conta específica, aberta no Banco do Estado de Sergipe - BANESE, inclusive os resultantes de eventual aplicação no mercado financeiro, bem assim aqueles oferecidos como contrapartida, aplicando-os, na conformidade do Plano de Trabalho e, exclusivamente, no cumprimento do seu objeto, observadas as vedações constantes neste instrumento relativas à execução das</w:t>
      </w:r>
      <w:r>
        <w:rPr>
          <w:spacing w:val="-3"/>
          <w:sz w:val="24"/>
        </w:rPr>
        <w:t> </w:t>
      </w:r>
      <w:r>
        <w:rPr>
          <w:sz w:val="24"/>
        </w:rPr>
        <w:t>despesas;</w:t>
      </w:r>
    </w:p>
    <w:p>
      <w:pPr>
        <w:pStyle w:val="ListParagraph"/>
        <w:numPr>
          <w:ilvl w:val="2"/>
          <w:numId w:val="2"/>
        </w:numPr>
        <w:tabs>
          <w:tab w:pos="2791" w:val="left" w:leader="none"/>
        </w:tabs>
        <w:spacing w:line="240" w:lineRule="auto" w:before="0" w:after="0"/>
        <w:ind w:left="635" w:right="176" w:firstLine="1410"/>
        <w:jc w:val="both"/>
        <w:rPr>
          <w:sz w:val="24"/>
        </w:rPr>
      </w:pPr>
      <w:r>
        <w:rPr>
          <w:sz w:val="24"/>
        </w:rPr>
        <w:t>Arcar com o pagamento de toda e qualquer despesa excedente aos recursos financeiros fixados neste instrumento, indicados na cláusula atinente ao valor e à dotação orçamentária;</w:t>
      </w:r>
    </w:p>
    <w:p>
      <w:pPr>
        <w:pStyle w:val="ListParagraph"/>
        <w:numPr>
          <w:ilvl w:val="2"/>
          <w:numId w:val="2"/>
        </w:numPr>
        <w:tabs>
          <w:tab w:pos="2866" w:val="left" w:leader="none"/>
        </w:tabs>
        <w:spacing w:line="240" w:lineRule="auto" w:before="1" w:after="0"/>
        <w:ind w:left="635" w:right="179" w:firstLine="1410"/>
        <w:jc w:val="both"/>
        <w:rPr>
          <w:sz w:val="24"/>
        </w:rPr>
      </w:pPr>
      <w:r>
        <w:rPr>
          <w:sz w:val="24"/>
        </w:rPr>
        <w:t>Publicizar os atos e os procedimentos relativos à formalização, execução, acompanhamento, prestação de contas e informações acerca de </w:t>
      </w:r>
      <w:r>
        <w:rPr>
          <w:spacing w:val="-5"/>
          <w:sz w:val="24"/>
        </w:rPr>
        <w:t>Tomada </w:t>
      </w:r>
      <w:r>
        <w:rPr>
          <w:sz w:val="24"/>
        </w:rPr>
        <w:t>de Contas Especial do </w:t>
      </w:r>
      <w:r>
        <w:rPr>
          <w:spacing w:val="-6"/>
          <w:sz w:val="24"/>
        </w:rPr>
        <w:t>Termo </w:t>
      </w:r>
      <w:r>
        <w:rPr>
          <w:sz w:val="24"/>
        </w:rPr>
        <w:t>de Fomento, quando </w:t>
      </w:r>
      <w:r>
        <w:rPr>
          <w:spacing w:val="-3"/>
          <w:sz w:val="24"/>
        </w:rPr>
        <w:t>couber, </w:t>
      </w:r>
      <w:r>
        <w:rPr>
          <w:sz w:val="24"/>
        </w:rPr>
        <w:t>incluindo regularmente as informações e os documentos exigidos pela Lei (Federal) nº 13.019/2014, o mantendo</w:t>
      </w:r>
      <w:r>
        <w:rPr>
          <w:spacing w:val="-15"/>
          <w:sz w:val="24"/>
        </w:rPr>
        <w:t> </w:t>
      </w:r>
      <w:r>
        <w:rPr>
          <w:sz w:val="24"/>
        </w:rPr>
        <w:t>atualizado;</w:t>
      </w:r>
    </w:p>
    <w:p>
      <w:pPr>
        <w:pStyle w:val="ListParagraph"/>
        <w:numPr>
          <w:ilvl w:val="2"/>
          <w:numId w:val="2"/>
        </w:numPr>
        <w:tabs>
          <w:tab w:pos="2968" w:val="left" w:leader="none"/>
        </w:tabs>
        <w:spacing w:line="240" w:lineRule="auto" w:before="0" w:after="0"/>
        <w:ind w:left="635" w:right="178" w:firstLine="1410"/>
        <w:jc w:val="both"/>
        <w:rPr>
          <w:sz w:val="24"/>
        </w:rPr>
      </w:pPr>
      <w:r>
        <w:rPr>
          <w:sz w:val="24"/>
        </w:rPr>
        <w:t>Selecionar as áreas de intervenção e os beneficiários finais em conformidade com as diretrizes estabelecidas pela </w:t>
      </w:r>
      <w:r>
        <w:rPr>
          <w:b/>
          <w:sz w:val="24"/>
        </w:rPr>
        <w:t>SEDETEC</w:t>
      </w:r>
      <w:r>
        <w:rPr>
          <w:sz w:val="24"/>
        </w:rPr>
        <w:t>, podendo estabelecer outras que busquem refletir situações de vulnerabilidade econômica e social, informando-a sempre que houver</w:t>
      </w:r>
      <w:r>
        <w:rPr>
          <w:spacing w:val="-3"/>
          <w:sz w:val="24"/>
        </w:rPr>
        <w:t> </w:t>
      </w:r>
      <w:r>
        <w:rPr>
          <w:sz w:val="24"/>
        </w:rPr>
        <w:t>alterações;</w:t>
      </w:r>
    </w:p>
    <w:p>
      <w:pPr>
        <w:pStyle w:val="BodyText"/>
        <w:spacing w:before="10"/>
        <w:rPr>
          <w:sz w:val="28"/>
        </w:rPr>
      </w:pPr>
      <w:r>
        <w:rPr/>
        <w:pict>
          <v:shape style="position:absolute;margin-left:56.700001pt;margin-top:18.607031pt;width:510.3pt;height:.1pt;mso-position-horizontal-relative:page;mso-position-vertical-relative:paragraph;z-index:-251654144;mso-wrap-distance-left:0;mso-wrap-distance-right:0" coordorigin="1134,372" coordsize="10206,0" path="m1134,372l11340,372e" filled="false" stroked="true" strokeweight=".1pt" strokecolor="#000000">
            <v:path arrowok="t"/>
            <v:stroke dashstyle="solid"/>
            <w10:wrap type="topAndBottom"/>
          </v:shape>
        </w:pict>
      </w:r>
    </w:p>
    <w:p>
      <w:pPr>
        <w:spacing w:after="0"/>
        <w:rPr>
          <w:sz w:val="28"/>
        </w:rPr>
        <w:sectPr>
          <w:headerReference w:type="default" r:id="rId9"/>
          <w:footerReference w:type="default" r:id="rId10"/>
          <w:pgSz w:w="11900" w:h="16840"/>
          <w:pgMar w:header="622" w:footer="520" w:top="3040" w:bottom="720" w:left="500" w:right="440"/>
          <w:pgNumType w:start="3"/>
        </w:sectPr>
      </w:pPr>
    </w:p>
    <w:p>
      <w:pPr>
        <w:pStyle w:val="BodyText"/>
        <w:spacing w:before="6"/>
        <w:rPr>
          <w:sz w:val="16"/>
        </w:rPr>
      </w:pPr>
      <w:r>
        <w:rPr/>
        <w:pict>
          <v:shape style="position:absolute;margin-left:576.757813pt;margin-top:415.914032pt;width:10.95pt;height:387.1pt;mso-position-horizontal-relative:page;mso-position-vertical-relative:page;z-index:251665408" type="#_x0000_t202" filled="false" stroked="false">
            <v:textbox inset="0,0,0,0" style="layout-flow:vertical;mso-layout-flow-alt:bottom-to-top">
              <w:txbxContent>
                <w:p>
                  <w:pPr>
                    <w:spacing w:before="14"/>
                    <w:ind w:left="20" w:right="0" w:firstLine="0"/>
                    <w:jc w:val="left"/>
                    <w:rPr>
                      <w:sz w:val="16"/>
                    </w:rPr>
                  </w:pPr>
                  <w:r>
                    <w:rPr>
                      <w:color w:val="A9A9A9"/>
                      <w:sz w:val="16"/>
                    </w:rPr>
                    <w:t>Este documento foi assinado via DocFlow por José Augusto Pereira de Carvalho e Valmor Barbosa Bezerra</w:t>
                  </w:r>
                </w:p>
              </w:txbxContent>
            </v:textbox>
            <w10:wrap type="none"/>
          </v:shape>
        </w:pict>
      </w:r>
    </w:p>
    <w:p>
      <w:pPr>
        <w:pStyle w:val="ListParagraph"/>
        <w:numPr>
          <w:ilvl w:val="2"/>
          <w:numId w:val="2"/>
        </w:numPr>
        <w:tabs>
          <w:tab w:pos="2916" w:val="left" w:leader="none"/>
        </w:tabs>
        <w:spacing w:line="240" w:lineRule="auto" w:before="93" w:after="0"/>
        <w:ind w:left="635" w:right="176" w:firstLine="1410"/>
        <w:jc w:val="both"/>
        <w:rPr>
          <w:sz w:val="24"/>
        </w:rPr>
      </w:pPr>
      <w:r>
        <w:rPr>
          <w:sz w:val="24"/>
        </w:rPr>
        <w:t>Estimular a participação dos beneficiários finais na implementação do objeto do </w:t>
      </w:r>
      <w:r>
        <w:rPr>
          <w:spacing w:val="-6"/>
          <w:sz w:val="24"/>
        </w:rPr>
        <w:t>Termo </w:t>
      </w:r>
      <w:r>
        <w:rPr>
          <w:sz w:val="24"/>
        </w:rPr>
        <w:t>de Fomento, bem como na manutenção do patrimônio gerado por esses investimentos;</w:t>
      </w:r>
    </w:p>
    <w:p>
      <w:pPr>
        <w:pStyle w:val="ListParagraph"/>
        <w:numPr>
          <w:ilvl w:val="2"/>
          <w:numId w:val="2"/>
        </w:numPr>
        <w:tabs>
          <w:tab w:pos="2916" w:val="left" w:leader="none"/>
        </w:tabs>
        <w:spacing w:line="240" w:lineRule="auto" w:before="0" w:after="0"/>
        <w:ind w:left="635" w:right="183" w:firstLine="1410"/>
        <w:jc w:val="both"/>
        <w:rPr>
          <w:sz w:val="24"/>
        </w:rPr>
      </w:pPr>
      <w:r>
        <w:rPr>
          <w:sz w:val="24"/>
        </w:rPr>
        <w:t>Garantir a manutenção de equipe técnica em quantidade e qualidade adequadas ao bom desempenho das atividades</w:t>
      </w:r>
      <w:r>
        <w:rPr>
          <w:spacing w:val="-4"/>
          <w:sz w:val="24"/>
        </w:rPr>
        <w:t> </w:t>
      </w:r>
      <w:r>
        <w:rPr>
          <w:sz w:val="24"/>
        </w:rPr>
        <w:t>;</w:t>
      </w:r>
    </w:p>
    <w:p>
      <w:pPr>
        <w:pStyle w:val="ListParagraph"/>
        <w:numPr>
          <w:ilvl w:val="2"/>
          <w:numId w:val="2"/>
        </w:numPr>
        <w:tabs>
          <w:tab w:pos="2937" w:val="left" w:leader="none"/>
        </w:tabs>
        <w:spacing w:line="240" w:lineRule="auto" w:before="0" w:after="0"/>
        <w:ind w:left="635" w:right="179" w:firstLine="1410"/>
        <w:jc w:val="both"/>
        <w:rPr>
          <w:sz w:val="24"/>
        </w:rPr>
      </w:pPr>
      <w:r>
        <w:rPr>
          <w:sz w:val="24"/>
        </w:rPr>
        <w:t>Manter registros, arquivos e controles contábeis específicos para os dispêndios relativos a este </w:t>
      </w:r>
      <w:r>
        <w:rPr>
          <w:spacing w:val="-6"/>
          <w:sz w:val="24"/>
        </w:rPr>
        <w:t>Termo </w:t>
      </w:r>
      <w:r>
        <w:rPr>
          <w:sz w:val="24"/>
        </w:rPr>
        <w:t>de Fomento, pelo prazo de 10 (dez) anos, conforme previsto no parágrafo único do art. 68 da Lei (Federal) nº</w:t>
      </w:r>
      <w:r>
        <w:rPr>
          <w:spacing w:val="-4"/>
          <w:sz w:val="24"/>
        </w:rPr>
        <w:t> </w:t>
      </w:r>
      <w:r>
        <w:rPr>
          <w:sz w:val="24"/>
        </w:rPr>
        <w:t>13.019/2014;</w:t>
      </w:r>
    </w:p>
    <w:p>
      <w:pPr>
        <w:pStyle w:val="ListParagraph"/>
        <w:numPr>
          <w:ilvl w:val="2"/>
          <w:numId w:val="2"/>
        </w:numPr>
        <w:tabs>
          <w:tab w:pos="2944" w:val="left" w:leader="none"/>
        </w:tabs>
        <w:spacing w:line="240" w:lineRule="auto" w:before="0" w:after="0"/>
        <w:ind w:left="635" w:right="177" w:firstLine="1410"/>
        <w:jc w:val="both"/>
        <w:rPr>
          <w:sz w:val="24"/>
        </w:rPr>
      </w:pPr>
      <w:r>
        <w:rPr>
          <w:sz w:val="24"/>
        </w:rPr>
        <w:t>Facilitar a supervisão e a fiscalização da </w:t>
      </w:r>
      <w:r>
        <w:rPr>
          <w:b/>
          <w:sz w:val="24"/>
        </w:rPr>
        <w:t>SEDETEC</w:t>
      </w:r>
      <w:r>
        <w:rPr>
          <w:sz w:val="24"/>
        </w:rPr>
        <w:t>, permitindo-lhe efetuar acompanhamento “</w:t>
      </w:r>
      <w:r>
        <w:rPr>
          <w:i/>
          <w:sz w:val="24"/>
        </w:rPr>
        <w:t>“In loco”</w:t>
      </w:r>
      <w:r>
        <w:rPr>
          <w:sz w:val="24"/>
        </w:rPr>
        <w:t>” e fornecendo, sempre que solicitado, as informações e os documentos relacionados com a execução do objeto deste </w:t>
      </w:r>
      <w:r>
        <w:rPr>
          <w:spacing w:val="-6"/>
          <w:sz w:val="24"/>
        </w:rPr>
        <w:t>Termo </w:t>
      </w:r>
      <w:r>
        <w:rPr>
          <w:sz w:val="24"/>
        </w:rPr>
        <w:t>de Fomento, especialmente no que se refere ao exame da documentação relativa aos contratos</w:t>
      </w:r>
      <w:r>
        <w:rPr>
          <w:spacing w:val="-6"/>
          <w:sz w:val="24"/>
        </w:rPr>
        <w:t> </w:t>
      </w:r>
      <w:r>
        <w:rPr>
          <w:sz w:val="24"/>
        </w:rPr>
        <w:t>celebrados;</w:t>
      </w:r>
    </w:p>
    <w:p>
      <w:pPr>
        <w:pStyle w:val="ListParagraph"/>
        <w:numPr>
          <w:ilvl w:val="2"/>
          <w:numId w:val="2"/>
        </w:numPr>
        <w:tabs>
          <w:tab w:pos="2922" w:val="left" w:leader="none"/>
        </w:tabs>
        <w:spacing w:line="240" w:lineRule="auto" w:before="0" w:after="0"/>
        <w:ind w:left="635" w:right="177" w:firstLine="1410"/>
        <w:jc w:val="both"/>
        <w:rPr>
          <w:sz w:val="24"/>
        </w:rPr>
      </w:pPr>
      <w:r>
        <w:rPr>
          <w:sz w:val="24"/>
        </w:rPr>
        <w:t>Permitir o livre acesso de servidores da </w:t>
      </w:r>
      <w:r>
        <w:rPr>
          <w:b/>
          <w:sz w:val="24"/>
        </w:rPr>
        <w:t>SEDETEC </w:t>
      </w:r>
      <w:r>
        <w:rPr>
          <w:sz w:val="24"/>
        </w:rPr>
        <w:t>e dos órgãos de controle interno e externo, a qualquer tempo e </w:t>
      </w:r>
      <w:r>
        <w:rPr>
          <w:spacing w:val="-3"/>
          <w:sz w:val="24"/>
        </w:rPr>
        <w:t>lugar, </w:t>
      </w:r>
      <w:r>
        <w:rPr>
          <w:sz w:val="24"/>
        </w:rPr>
        <w:t>aos processos, documentos e informações referentes a este </w:t>
      </w:r>
      <w:r>
        <w:rPr>
          <w:spacing w:val="-6"/>
          <w:sz w:val="24"/>
        </w:rPr>
        <w:t>Termo </w:t>
      </w:r>
      <w:r>
        <w:rPr>
          <w:sz w:val="24"/>
        </w:rPr>
        <w:t>de Fomento, bem como aos locais de execução do respectivo objeto;</w:t>
      </w:r>
    </w:p>
    <w:p>
      <w:pPr>
        <w:pStyle w:val="ListParagraph"/>
        <w:numPr>
          <w:ilvl w:val="2"/>
          <w:numId w:val="2"/>
        </w:numPr>
        <w:tabs>
          <w:tab w:pos="2910" w:val="left" w:leader="none"/>
        </w:tabs>
        <w:spacing w:line="240" w:lineRule="auto" w:before="0" w:after="0"/>
        <w:ind w:left="635" w:right="178" w:firstLine="1410"/>
        <w:jc w:val="both"/>
        <w:rPr>
          <w:sz w:val="24"/>
        </w:rPr>
      </w:pPr>
      <w:r>
        <w:rPr>
          <w:sz w:val="24"/>
        </w:rPr>
        <w:t>Divulgar na internet e em locais visíveis de suas sedes sociais e dos estabelecimentos em que exerça suas ações todas as parcerias celebradas com a administração pública, nos termos do art. </w:t>
      </w:r>
      <w:r>
        <w:rPr>
          <w:spacing w:val="-9"/>
          <w:sz w:val="24"/>
        </w:rPr>
        <w:t>11 </w:t>
      </w:r>
      <w:r>
        <w:rPr>
          <w:sz w:val="24"/>
        </w:rPr>
        <w:t>da Lei (Federal) nº 13.019/2014;</w:t>
      </w:r>
    </w:p>
    <w:p>
      <w:pPr>
        <w:pStyle w:val="ListParagraph"/>
        <w:numPr>
          <w:ilvl w:val="2"/>
          <w:numId w:val="2"/>
        </w:numPr>
        <w:tabs>
          <w:tab w:pos="2934" w:val="left" w:leader="none"/>
        </w:tabs>
        <w:spacing w:line="240" w:lineRule="auto" w:before="0" w:after="0"/>
        <w:ind w:left="635" w:right="185" w:firstLine="1410"/>
        <w:jc w:val="both"/>
        <w:rPr>
          <w:sz w:val="24"/>
        </w:rPr>
      </w:pPr>
      <w:r>
        <w:rPr>
          <w:sz w:val="24"/>
        </w:rPr>
        <w:t>Indicar um dirigente para que se responsabilize solidariamente, pela execução do presente </w:t>
      </w:r>
      <w:r>
        <w:rPr>
          <w:spacing w:val="-6"/>
          <w:sz w:val="24"/>
        </w:rPr>
        <w:t>Termo </w:t>
      </w:r>
      <w:r>
        <w:rPr>
          <w:sz w:val="24"/>
        </w:rPr>
        <w:t>de Fomento e cumprimentos das respectivas</w:t>
      </w:r>
      <w:r>
        <w:rPr>
          <w:spacing w:val="-12"/>
          <w:sz w:val="24"/>
        </w:rPr>
        <w:t> </w:t>
      </w:r>
      <w:r>
        <w:rPr>
          <w:sz w:val="24"/>
        </w:rPr>
        <w:t>metas;</w:t>
      </w:r>
    </w:p>
    <w:p>
      <w:pPr>
        <w:pStyle w:val="ListParagraph"/>
        <w:numPr>
          <w:ilvl w:val="2"/>
          <w:numId w:val="2"/>
        </w:numPr>
        <w:tabs>
          <w:tab w:pos="2880" w:val="left" w:leader="none"/>
        </w:tabs>
        <w:spacing w:line="240" w:lineRule="auto" w:before="0" w:after="0"/>
        <w:ind w:left="635" w:right="180" w:firstLine="1410"/>
        <w:jc w:val="both"/>
        <w:rPr>
          <w:sz w:val="24"/>
        </w:rPr>
      </w:pPr>
      <w:r>
        <w:rPr>
          <w:sz w:val="24"/>
        </w:rPr>
        <w:t>Responsabilizar-se por todos os encargos de natureza trabalhista, fiscal, comercial e previdenciária, decorrentes de eventuais demandas judiciais relativas a recursos humanos utilizados na execução do objeto deste </w:t>
      </w:r>
      <w:r>
        <w:rPr>
          <w:spacing w:val="-6"/>
          <w:sz w:val="24"/>
        </w:rPr>
        <w:t>Termo </w:t>
      </w:r>
      <w:r>
        <w:rPr>
          <w:sz w:val="24"/>
        </w:rPr>
        <w:t>de Fomento, bem como por todos os encargos tributários ou extraordinários que incidam sobre o presente</w:t>
      </w:r>
      <w:r>
        <w:rPr>
          <w:spacing w:val="-11"/>
          <w:sz w:val="24"/>
        </w:rPr>
        <w:t> </w:t>
      </w:r>
      <w:r>
        <w:rPr>
          <w:sz w:val="24"/>
        </w:rPr>
        <w:t>Instrumento;</w:t>
      </w:r>
    </w:p>
    <w:p>
      <w:pPr>
        <w:pStyle w:val="ListParagraph"/>
        <w:numPr>
          <w:ilvl w:val="2"/>
          <w:numId w:val="2"/>
        </w:numPr>
        <w:tabs>
          <w:tab w:pos="2878" w:val="left" w:leader="none"/>
        </w:tabs>
        <w:spacing w:line="240" w:lineRule="auto" w:before="0" w:after="0"/>
        <w:ind w:left="635" w:right="179" w:firstLine="1410"/>
        <w:jc w:val="both"/>
        <w:rPr>
          <w:sz w:val="24"/>
        </w:rPr>
      </w:pPr>
      <w:r>
        <w:rPr>
          <w:spacing w:val="-3"/>
          <w:sz w:val="24"/>
        </w:rPr>
        <w:t>Operar, </w:t>
      </w:r>
      <w:r>
        <w:rPr>
          <w:sz w:val="24"/>
        </w:rPr>
        <w:t>manter e conservar adequadamente o patrimônio público gerado pelos investimentos decorrentes do </w:t>
      </w:r>
      <w:r>
        <w:rPr>
          <w:spacing w:val="-6"/>
          <w:sz w:val="24"/>
        </w:rPr>
        <w:t>Termo </w:t>
      </w:r>
      <w:r>
        <w:rPr>
          <w:sz w:val="24"/>
        </w:rPr>
        <w:t>de Fomento, após sua execução, de modo a assegurar a sustentabilidade do projeto e atender as finalidades sociais às quais se</w:t>
      </w:r>
      <w:r>
        <w:rPr>
          <w:spacing w:val="-28"/>
          <w:sz w:val="24"/>
        </w:rPr>
        <w:t> </w:t>
      </w:r>
      <w:r>
        <w:rPr>
          <w:sz w:val="24"/>
        </w:rPr>
        <w:t>destina;</w:t>
      </w:r>
    </w:p>
    <w:p>
      <w:pPr>
        <w:pStyle w:val="ListParagraph"/>
        <w:numPr>
          <w:ilvl w:val="2"/>
          <w:numId w:val="2"/>
        </w:numPr>
        <w:tabs>
          <w:tab w:pos="2958" w:val="left" w:leader="none"/>
        </w:tabs>
        <w:spacing w:line="240" w:lineRule="auto" w:before="0" w:after="0"/>
        <w:ind w:left="635" w:right="178" w:firstLine="1410"/>
        <w:jc w:val="both"/>
        <w:rPr>
          <w:sz w:val="24"/>
        </w:rPr>
      </w:pPr>
      <w:r>
        <w:rPr>
          <w:sz w:val="24"/>
        </w:rPr>
        <w:t>Manter a </w:t>
      </w:r>
      <w:r>
        <w:rPr>
          <w:b/>
          <w:sz w:val="24"/>
        </w:rPr>
        <w:t>SEDETEC </w:t>
      </w:r>
      <w:r>
        <w:rPr>
          <w:sz w:val="24"/>
        </w:rPr>
        <w:t>informada sobre situações que eventualmente possam dificultar ou interromper o curso normal da execução do </w:t>
      </w:r>
      <w:r>
        <w:rPr>
          <w:spacing w:val="-6"/>
          <w:sz w:val="24"/>
        </w:rPr>
        <w:t>Termo </w:t>
      </w:r>
      <w:r>
        <w:rPr>
          <w:sz w:val="24"/>
        </w:rPr>
        <w:t>de Fomento e prestar informações sobre as ações desenvolvidas para viabilizar o respectivo acompanhamento e fiscalização;</w:t>
      </w:r>
    </w:p>
    <w:p>
      <w:pPr>
        <w:pStyle w:val="ListParagraph"/>
        <w:numPr>
          <w:ilvl w:val="2"/>
          <w:numId w:val="2"/>
        </w:numPr>
        <w:tabs>
          <w:tab w:pos="2944" w:val="left" w:leader="none"/>
        </w:tabs>
        <w:spacing w:line="240" w:lineRule="auto" w:before="0" w:after="0"/>
        <w:ind w:left="635" w:right="178" w:firstLine="1410"/>
        <w:jc w:val="both"/>
        <w:rPr>
          <w:sz w:val="24"/>
        </w:rPr>
      </w:pPr>
      <w:r>
        <w:rPr>
          <w:sz w:val="24"/>
        </w:rPr>
        <w:t>Permitir à </w:t>
      </w:r>
      <w:r>
        <w:rPr>
          <w:b/>
          <w:sz w:val="24"/>
        </w:rPr>
        <w:t>SEDETEC</w:t>
      </w:r>
      <w:r>
        <w:rPr>
          <w:sz w:val="24"/>
        </w:rPr>
        <w:t>, bem como aos órgãos de controle interno e externo, o acesso à movimentação financeira da conta específica vinculada ao presente </w:t>
      </w:r>
      <w:r>
        <w:rPr>
          <w:spacing w:val="-6"/>
          <w:sz w:val="24"/>
        </w:rPr>
        <w:t>Termo </w:t>
      </w:r>
      <w:r>
        <w:rPr>
          <w:sz w:val="24"/>
        </w:rPr>
        <w:t>de</w:t>
      </w:r>
      <w:r>
        <w:rPr>
          <w:spacing w:val="-2"/>
          <w:sz w:val="24"/>
        </w:rPr>
        <w:t> </w:t>
      </w:r>
      <w:r>
        <w:rPr>
          <w:sz w:val="24"/>
        </w:rPr>
        <w:t>Fomento;</w:t>
      </w:r>
    </w:p>
    <w:p>
      <w:pPr>
        <w:pStyle w:val="ListParagraph"/>
        <w:numPr>
          <w:ilvl w:val="2"/>
          <w:numId w:val="2"/>
        </w:numPr>
        <w:tabs>
          <w:tab w:pos="3001" w:val="left" w:leader="none"/>
        </w:tabs>
        <w:spacing w:line="240" w:lineRule="auto" w:before="1" w:after="0"/>
        <w:ind w:left="635" w:right="183" w:firstLine="1410"/>
        <w:jc w:val="both"/>
        <w:rPr>
          <w:sz w:val="24"/>
        </w:rPr>
      </w:pPr>
      <w:r>
        <w:rPr>
          <w:sz w:val="24"/>
        </w:rPr>
        <w:t>Ao tomar conhecimento de qualquer irregularidade ou ilegalidade, dar ciência aos órgãos de controle e, havendo fundada suspeita de crime ou de improbidade administrativa, cientificar o Ministério</w:t>
      </w:r>
      <w:r>
        <w:rPr>
          <w:spacing w:val="-2"/>
          <w:sz w:val="24"/>
        </w:rPr>
        <w:t> </w:t>
      </w:r>
      <w:r>
        <w:rPr>
          <w:sz w:val="24"/>
        </w:rPr>
        <w:t>Público;</w:t>
      </w:r>
    </w:p>
    <w:p>
      <w:pPr>
        <w:pStyle w:val="ListParagraph"/>
        <w:numPr>
          <w:ilvl w:val="2"/>
          <w:numId w:val="2"/>
        </w:numPr>
        <w:tabs>
          <w:tab w:pos="2890" w:val="left" w:leader="none"/>
        </w:tabs>
        <w:spacing w:line="240" w:lineRule="auto" w:before="0" w:after="0"/>
        <w:ind w:left="635" w:right="182" w:firstLine="1410"/>
        <w:jc w:val="both"/>
        <w:rPr>
          <w:sz w:val="24"/>
        </w:rPr>
      </w:pPr>
      <w:r>
        <w:rPr>
          <w:sz w:val="24"/>
        </w:rPr>
        <w:t>Garantir a manutenção da capacidade técnica e operacional necessária ao bom desempenho das</w:t>
      </w:r>
      <w:r>
        <w:rPr>
          <w:spacing w:val="-5"/>
          <w:sz w:val="24"/>
        </w:rPr>
        <w:t> </w:t>
      </w:r>
      <w:r>
        <w:rPr>
          <w:sz w:val="24"/>
        </w:rPr>
        <w:t>atividades;</w:t>
      </w:r>
    </w:p>
    <w:p>
      <w:pPr>
        <w:pStyle w:val="ListParagraph"/>
        <w:numPr>
          <w:ilvl w:val="2"/>
          <w:numId w:val="2"/>
        </w:numPr>
        <w:tabs>
          <w:tab w:pos="3045" w:val="left" w:leader="none"/>
        </w:tabs>
        <w:spacing w:line="240" w:lineRule="auto" w:before="0" w:after="0"/>
        <w:ind w:left="635" w:right="177" w:firstLine="1410"/>
        <w:jc w:val="both"/>
        <w:rPr>
          <w:sz w:val="24"/>
        </w:rPr>
      </w:pPr>
      <w:r>
        <w:rPr>
          <w:sz w:val="24"/>
        </w:rPr>
        <w:t>Responder exclusivamente pelo gerenciamento administrativo e financeiro dos recursos recebidos, inclusive no que diz respeito às despesas de custeio, de investimento e de</w:t>
      </w:r>
      <w:r>
        <w:rPr>
          <w:spacing w:val="-4"/>
          <w:sz w:val="24"/>
        </w:rPr>
        <w:t> </w:t>
      </w:r>
      <w:r>
        <w:rPr>
          <w:sz w:val="24"/>
        </w:rPr>
        <w:t>pessoal.</w:t>
      </w:r>
    </w:p>
    <w:p>
      <w:pPr>
        <w:pStyle w:val="BodyText"/>
        <w:rPr>
          <w:sz w:val="20"/>
        </w:rPr>
      </w:pPr>
    </w:p>
    <w:p>
      <w:pPr>
        <w:pStyle w:val="BodyText"/>
        <w:rPr>
          <w:sz w:val="20"/>
        </w:rPr>
      </w:pPr>
    </w:p>
    <w:p>
      <w:pPr>
        <w:pStyle w:val="BodyText"/>
        <w:spacing w:before="10"/>
        <w:rPr>
          <w:sz w:val="12"/>
        </w:rPr>
      </w:pPr>
      <w:r>
        <w:rPr/>
        <w:pict>
          <v:shape style="position:absolute;margin-left:56.700001pt;margin-top:9.407812pt;width:510.3pt;height:.1pt;mso-position-horizontal-relative:page;mso-position-vertical-relative:paragraph;z-index:-251652096;mso-wrap-distance-left:0;mso-wrap-distance-right:0" coordorigin="1134,188" coordsize="10206,0" path="m1134,188l11340,188e" filled="false" stroked="true" strokeweight=".1pt" strokecolor="#000000">
            <v:path arrowok="t"/>
            <v:stroke dashstyle="solid"/>
            <w10:wrap type="topAndBottom"/>
          </v:shape>
        </w:pict>
      </w:r>
    </w:p>
    <w:p>
      <w:pPr>
        <w:spacing w:after="0"/>
        <w:rPr>
          <w:sz w:val="12"/>
        </w:rPr>
        <w:sectPr>
          <w:headerReference w:type="default" r:id="rId11"/>
          <w:footerReference w:type="default" r:id="rId12"/>
          <w:pgSz w:w="11900" w:h="16840"/>
          <w:pgMar w:header="622" w:footer="520" w:top="3040" w:bottom="720" w:left="500" w:right="440"/>
          <w:pgNumType w:start="4"/>
        </w:sectPr>
      </w:pPr>
    </w:p>
    <w:p>
      <w:pPr>
        <w:pStyle w:val="BodyText"/>
        <w:rPr>
          <w:sz w:val="20"/>
        </w:rPr>
      </w:pPr>
      <w:r>
        <w:rPr/>
        <w:pict>
          <v:shape style="position:absolute;margin-left:576.757813pt;margin-top:415.914032pt;width:10.95pt;height:387.1pt;mso-position-horizontal-relative:page;mso-position-vertical-relative:page;z-index:251667456" type="#_x0000_t202" filled="false" stroked="false">
            <v:textbox inset="0,0,0,0" style="layout-flow:vertical;mso-layout-flow-alt:bottom-to-top">
              <w:txbxContent>
                <w:p>
                  <w:pPr>
                    <w:spacing w:before="14"/>
                    <w:ind w:left="20" w:right="0" w:firstLine="0"/>
                    <w:jc w:val="left"/>
                    <w:rPr>
                      <w:sz w:val="16"/>
                    </w:rPr>
                  </w:pPr>
                  <w:r>
                    <w:rPr>
                      <w:color w:val="A9A9A9"/>
                      <w:sz w:val="16"/>
                    </w:rPr>
                    <w:t>Este documento foi assinado via DocFlow por José Augusto Pereira de Carvalho e Valmor Barbosa Bezerra</w:t>
                  </w:r>
                </w:p>
              </w:txbxContent>
            </v:textbox>
            <w10:wrap type="none"/>
          </v:shape>
        </w:pict>
      </w:r>
    </w:p>
    <w:p>
      <w:pPr>
        <w:pStyle w:val="BodyText"/>
        <w:spacing w:before="6"/>
        <w:rPr>
          <w:sz w:val="20"/>
        </w:rPr>
      </w:pPr>
    </w:p>
    <w:p>
      <w:pPr>
        <w:pStyle w:val="Heading2"/>
        <w:spacing w:before="93"/>
        <w:rPr>
          <w:u w:val="none"/>
        </w:rPr>
      </w:pPr>
      <w:r>
        <w:rPr>
          <w:u w:val="single"/>
        </w:rPr>
        <w:t>CLÁUSULA </w:t>
      </w:r>
      <w:r>
        <w:rPr>
          <w:spacing w:val="-4"/>
          <w:u w:val="single"/>
        </w:rPr>
        <w:t>QUARTA </w:t>
      </w:r>
      <w:r>
        <w:rPr>
          <w:u w:val="single"/>
        </w:rPr>
        <w:t>- DO </w:t>
      </w:r>
      <w:r>
        <w:rPr>
          <w:spacing w:val="-4"/>
          <w:u w:val="single"/>
        </w:rPr>
        <w:t>VALOR </w:t>
      </w:r>
      <w:r>
        <w:rPr>
          <w:u w:val="single"/>
        </w:rPr>
        <w:t>E DA CLASSIFICAÇÃO</w:t>
      </w:r>
      <w:r>
        <w:rPr>
          <w:spacing w:val="-33"/>
          <w:u w:val="single"/>
        </w:rPr>
        <w:t> </w:t>
      </w:r>
      <w:r>
        <w:rPr>
          <w:u w:val="single"/>
        </w:rPr>
        <w:t>ORÇAMENTÁRIA</w:t>
      </w:r>
    </w:p>
    <w:p>
      <w:pPr>
        <w:pStyle w:val="BodyText"/>
        <w:spacing w:before="11"/>
        <w:rPr>
          <w:b/>
          <w:sz w:val="15"/>
        </w:rPr>
      </w:pPr>
    </w:p>
    <w:p>
      <w:pPr>
        <w:pStyle w:val="BodyText"/>
        <w:spacing w:before="92"/>
        <w:ind w:left="635" w:right="175" w:firstLine="856"/>
        <w:jc w:val="both"/>
      </w:pPr>
      <w:r>
        <w:rPr>
          <w:b/>
        </w:rPr>
        <w:t>4.1) </w:t>
      </w:r>
      <w:r>
        <w:rPr/>
        <w:t>A execução deste </w:t>
      </w:r>
      <w:r>
        <w:rPr>
          <w:spacing w:val="-6"/>
        </w:rPr>
        <w:t>Termo </w:t>
      </w:r>
      <w:r>
        <w:rPr/>
        <w:t>de Fomento correrá à conta dos créditos alocados no Orçamento do Estado de Sergipe, que a </w:t>
      </w:r>
      <w:r>
        <w:rPr>
          <w:b/>
        </w:rPr>
        <w:t>SEDETEC </w:t>
      </w:r>
      <w:r>
        <w:rPr/>
        <w:t>transferirá para o </w:t>
      </w:r>
      <w:r>
        <w:rPr>
          <w:b/>
        </w:rPr>
        <w:t>SERGIPETEC </w:t>
      </w:r>
      <w:r>
        <w:rPr/>
        <w:t>o valor de </w:t>
      </w:r>
      <w:r>
        <w:rPr>
          <w:b/>
        </w:rPr>
        <w:t>R$ 100.000,00 (cem mil reais) </w:t>
      </w:r>
      <w:r>
        <w:rPr/>
        <w:t>para execução deste </w:t>
      </w:r>
      <w:r>
        <w:rPr>
          <w:spacing w:val="-6"/>
        </w:rPr>
        <w:t>Termo </w:t>
      </w:r>
      <w:r>
        <w:rPr/>
        <w:t>de Fomento, obedecendo à seguinte classificação funcional programática: </w:t>
      </w:r>
      <w:r>
        <w:rPr>
          <w:b/>
        </w:rPr>
        <w:t>Unidade Orçamentária 19.402 – FUNTEC</w:t>
      </w:r>
      <w:r>
        <w:rPr/>
        <w:t>, Projeto-Atividade – 19.573.0028.0077– Ação 0077 – Apoio ao Sergipe Parque </w:t>
      </w:r>
      <w:r>
        <w:rPr>
          <w:spacing w:val="-3"/>
        </w:rPr>
        <w:t>Tecnológico, </w:t>
      </w:r>
      <w:r>
        <w:rPr/>
        <w:t>Sub-ação 1042 - Apoio financeiro para despesas de custeio do Sergipe Parque </w:t>
      </w:r>
      <w:r>
        <w:rPr>
          <w:spacing w:val="-3"/>
        </w:rPr>
        <w:t>Tecnológico </w:t>
      </w:r>
      <w:r>
        <w:rPr/>
        <w:t>(SERGIPETEC) - Elemento de Despesa 4.4.50.41 – Contribuições, FR 150000, do Orçamento Programa do exercício 2024, a serem liberados no exercício financeiro de</w:t>
      </w:r>
      <w:r>
        <w:rPr>
          <w:spacing w:val="-13"/>
        </w:rPr>
        <w:t> </w:t>
      </w:r>
      <w:r>
        <w:rPr/>
        <w:t>2024.</w:t>
      </w:r>
    </w:p>
    <w:p>
      <w:pPr>
        <w:pStyle w:val="BodyText"/>
        <w:rPr>
          <w:sz w:val="26"/>
        </w:rPr>
      </w:pPr>
    </w:p>
    <w:p>
      <w:pPr>
        <w:pStyle w:val="BodyText"/>
        <w:rPr>
          <w:sz w:val="22"/>
        </w:rPr>
      </w:pPr>
    </w:p>
    <w:p>
      <w:pPr>
        <w:pStyle w:val="Heading2"/>
        <w:rPr>
          <w:u w:val="none"/>
        </w:rPr>
      </w:pPr>
      <w:r>
        <w:rPr>
          <w:u w:val="single"/>
        </w:rPr>
        <w:t>CLÁUSULA QUINTA - DA LIBERAÇÃO DOS RECURSOS</w:t>
      </w:r>
    </w:p>
    <w:p>
      <w:pPr>
        <w:pStyle w:val="BodyText"/>
        <w:rPr>
          <w:b/>
          <w:sz w:val="16"/>
        </w:rPr>
      </w:pPr>
    </w:p>
    <w:p>
      <w:pPr>
        <w:pStyle w:val="ListParagraph"/>
        <w:numPr>
          <w:ilvl w:val="1"/>
          <w:numId w:val="3"/>
        </w:numPr>
        <w:tabs>
          <w:tab w:pos="1988" w:val="left" w:leader="none"/>
        </w:tabs>
        <w:spacing w:line="240" w:lineRule="auto" w:before="93" w:after="0"/>
        <w:ind w:left="635" w:right="179" w:firstLine="856"/>
        <w:jc w:val="both"/>
        <w:rPr>
          <w:sz w:val="24"/>
        </w:rPr>
      </w:pPr>
      <w:r>
        <w:rPr>
          <w:sz w:val="24"/>
        </w:rPr>
        <w:t>Os recursos financeiros relativos ao repasse da </w:t>
      </w:r>
      <w:r>
        <w:rPr>
          <w:b/>
          <w:sz w:val="24"/>
        </w:rPr>
        <w:t>SEDETEC </w:t>
      </w:r>
      <w:r>
        <w:rPr>
          <w:sz w:val="24"/>
        </w:rPr>
        <w:t>serão depositados na conta poupança específica, isenta de tarifa bancária, na instituição financeira pública determinada pela administração pública, conforme disposto neste termo e disposto no art. 51 da Lei (Federal) nº</w:t>
      </w:r>
      <w:r>
        <w:rPr>
          <w:spacing w:val="-3"/>
          <w:sz w:val="24"/>
        </w:rPr>
        <w:t> </w:t>
      </w:r>
      <w:r>
        <w:rPr>
          <w:sz w:val="24"/>
        </w:rPr>
        <w:t>13.019/2014.</w:t>
      </w:r>
    </w:p>
    <w:p>
      <w:pPr>
        <w:pStyle w:val="BodyText"/>
        <w:spacing w:before="11"/>
        <w:rPr>
          <w:sz w:val="23"/>
        </w:rPr>
      </w:pPr>
    </w:p>
    <w:p>
      <w:pPr>
        <w:pStyle w:val="ListParagraph"/>
        <w:numPr>
          <w:ilvl w:val="1"/>
          <w:numId w:val="3"/>
        </w:numPr>
        <w:tabs>
          <w:tab w:pos="2028" w:val="left" w:leader="none"/>
        </w:tabs>
        <w:spacing w:line="240" w:lineRule="auto" w:before="0" w:after="0"/>
        <w:ind w:left="635" w:right="181" w:firstLine="856"/>
        <w:jc w:val="both"/>
        <w:rPr>
          <w:sz w:val="24"/>
        </w:rPr>
      </w:pPr>
      <w:r>
        <w:rPr>
          <w:sz w:val="24"/>
        </w:rPr>
        <w:t>Os recursos serão liberados de acordo com a disponibilidade orçamentária e financeira da </w:t>
      </w:r>
      <w:r>
        <w:rPr>
          <w:b/>
          <w:sz w:val="24"/>
        </w:rPr>
        <w:t>SEDETEC</w:t>
      </w:r>
      <w:r>
        <w:rPr>
          <w:sz w:val="24"/>
        </w:rPr>
        <w:t>, em conformidade com o número de parcelas e prazos estabelecidos no cronograma de desembolso constante no Plano de Trabalho aprovado pela SEDETEC, que guardará consonância com as metas, fases e etapas de execução do objeto do </w:t>
      </w:r>
      <w:r>
        <w:rPr>
          <w:spacing w:val="-6"/>
          <w:sz w:val="24"/>
        </w:rPr>
        <w:t>Termo </w:t>
      </w:r>
      <w:r>
        <w:rPr>
          <w:sz w:val="24"/>
        </w:rPr>
        <w:t>de Fomento, ficando condicionada, ainda, ao cumprimento dos requisitos previstos no art. 48 da Lei (Federal) nº 13.019/2014, e art. 7° do Decreto (Estadual) nº</w:t>
      </w:r>
      <w:r>
        <w:rPr>
          <w:spacing w:val="-10"/>
          <w:sz w:val="24"/>
        </w:rPr>
        <w:t> </w:t>
      </w:r>
      <w:r>
        <w:rPr>
          <w:sz w:val="24"/>
        </w:rPr>
        <w:t>30.874/2017.</w:t>
      </w:r>
    </w:p>
    <w:p>
      <w:pPr>
        <w:pStyle w:val="BodyText"/>
      </w:pPr>
    </w:p>
    <w:p>
      <w:pPr>
        <w:pStyle w:val="ListParagraph"/>
        <w:numPr>
          <w:ilvl w:val="1"/>
          <w:numId w:val="3"/>
        </w:numPr>
        <w:tabs>
          <w:tab w:pos="1998" w:val="left" w:leader="none"/>
        </w:tabs>
        <w:spacing w:line="240" w:lineRule="auto" w:before="0" w:after="0"/>
        <w:ind w:left="635" w:right="179" w:firstLine="856"/>
        <w:jc w:val="both"/>
        <w:rPr>
          <w:sz w:val="24"/>
        </w:rPr>
      </w:pPr>
      <w:r>
        <w:rPr>
          <w:sz w:val="24"/>
        </w:rPr>
        <w:t>Os recursos transferidos serão utilizados exclusivamente para o pagamento das despesas previstas no Plano de Trabalho, vedada a sua aplicação em finalidade</w:t>
      </w:r>
      <w:r>
        <w:rPr>
          <w:spacing w:val="-29"/>
          <w:sz w:val="24"/>
        </w:rPr>
        <w:t> </w:t>
      </w:r>
      <w:r>
        <w:rPr>
          <w:sz w:val="24"/>
        </w:rPr>
        <w:t>diversa.</w:t>
      </w:r>
    </w:p>
    <w:p>
      <w:pPr>
        <w:pStyle w:val="BodyText"/>
      </w:pPr>
    </w:p>
    <w:p>
      <w:pPr>
        <w:pStyle w:val="ListParagraph"/>
        <w:numPr>
          <w:ilvl w:val="1"/>
          <w:numId w:val="3"/>
        </w:numPr>
        <w:tabs>
          <w:tab w:pos="2052" w:val="left" w:leader="none"/>
        </w:tabs>
        <w:spacing w:line="240" w:lineRule="auto" w:before="0" w:after="0"/>
        <w:ind w:left="635" w:right="178" w:firstLine="856"/>
        <w:jc w:val="both"/>
        <w:rPr>
          <w:sz w:val="24"/>
        </w:rPr>
      </w:pPr>
      <w:r>
        <w:rPr>
          <w:sz w:val="24"/>
        </w:rPr>
        <w:t>Os rendimentos auferidos das aplicações financeiras serão obrigatoriamente computados a crédito do </w:t>
      </w:r>
      <w:r>
        <w:rPr>
          <w:spacing w:val="-6"/>
          <w:sz w:val="24"/>
        </w:rPr>
        <w:t>Termo </w:t>
      </w:r>
      <w:r>
        <w:rPr>
          <w:sz w:val="24"/>
        </w:rPr>
        <w:t>de Fomento e aplicados, exclusivamente, no objeto de sua finalidade, mediante solicitação fundamentada da </w:t>
      </w:r>
      <w:r>
        <w:rPr>
          <w:b/>
          <w:sz w:val="24"/>
        </w:rPr>
        <w:t>PROPONENTE </w:t>
      </w:r>
      <w:r>
        <w:rPr>
          <w:sz w:val="24"/>
        </w:rPr>
        <w:t>e anuência prévia da </w:t>
      </w:r>
      <w:r>
        <w:rPr>
          <w:b/>
          <w:sz w:val="24"/>
        </w:rPr>
        <w:t>SEDETEC</w:t>
      </w:r>
      <w:r>
        <w:rPr>
          <w:sz w:val="24"/>
        </w:rPr>
        <w:t>, estando sujeitos às mesmas condições de prestação de contas exigidas para os recursos</w:t>
      </w:r>
      <w:r>
        <w:rPr>
          <w:spacing w:val="-2"/>
          <w:sz w:val="24"/>
        </w:rPr>
        <w:t> </w:t>
      </w:r>
      <w:r>
        <w:rPr>
          <w:sz w:val="24"/>
        </w:rPr>
        <w:t>transferidos.</w:t>
      </w:r>
    </w:p>
    <w:p>
      <w:pPr>
        <w:pStyle w:val="BodyText"/>
      </w:pPr>
    </w:p>
    <w:p>
      <w:pPr>
        <w:pStyle w:val="ListParagraph"/>
        <w:numPr>
          <w:ilvl w:val="1"/>
          <w:numId w:val="3"/>
        </w:numPr>
        <w:tabs>
          <w:tab w:pos="1994" w:val="left" w:leader="none"/>
        </w:tabs>
        <w:spacing w:line="240" w:lineRule="auto" w:before="1" w:after="0"/>
        <w:ind w:left="635" w:right="178" w:firstLine="856"/>
        <w:jc w:val="both"/>
        <w:rPr>
          <w:sz w:val="24"/>
        </w:rPr>
      </w:pPr>
      <w:r>
        <w:rPr>
          <w:sz w:val="24"/>
        </w:rPr>
        <w:t>Os recursos da parceria geridos pela </w:t>
      </w:r>
      <w:r>
        <w:rPr>
          <w:b/>
          <w:sz w:val="24"/>
        </w:rPr>
        <w:t>PROPONENTE </w:t>
      </w:r>
      <w:r>
        <w:rPr>
          <w:sz w:val="24"/>
        </w:rPr>
        <w:t>estão vinculados ao Plano de Trabalho e não caracterizam receita própria e nem pagamento por prestação de serviços e devem ser alocados nos seus registros contábeis conforme as Normas Brasileiras de Contabilidade.</w:t>
      </w:r>
    </w:p>
    <w:p>
      <w:pPr>
        <w:pStyle w:val="BodyText"/>
        <w:spacing w:before="11"/>
        <w:rPr>
          <w:sz w:val="23"/>
        </w:rPr>
      </w:pPr>
    </w:p>
    <w:p>
      <w:pPr>
        <w:pStyle w:val="ListParagraph"/>
        <w:numPr>
          <w:ilvl w:val="1"/>
          <w:numId w:val="3"/>
        </w:numPr>
        <w:tabs>
          <w:tab w:pos="2080" w:val="left" w:leader="none"/>
        </w:tabs>
        <w:spacing w:line="240" w:lineRule="auto" w:before="0" w:after="0"/>
        <w:ind w:left="635" w:right="177" w:firstLine="856"/>
        <w:jc w:val="both"/>
        <w:rPr>
          <w:sz w:val="24"/>
        </w:rPr>
      </w:pPr>
      <w:r>
        <w:rPr>
          <w:sz w:val="24"/>
        </w:rPr>
        <w:t>Os recursos transferidos às organizações da sociedade civil deverão ser depositados </w:t>
      </w:r>
      <w:r>
        <w:rPr>
          <w:b/>
          <w:sz w:val="24"/>
        </w:rPr>
        <w:t>em conta-poupança no Banco do Estado de Sergipe - BANESE</w:t>
      </w:r>
      <w:r>
        <w:rPr>
          <w:sz w:val="24"/>
        </w:rPr>
        <w:t>, somente se admitindo saques após expressa aprovação da SEDETEC, que deverá atestar se tal</w:t>
      </w:r>
      <w:r>
        <w:rPr>
          <w:spacing w:val="49"/>
          <w:sz w:val="24"/>
        </w:rPr>
        <w:t> </w:t>
      </w:r>
      <w:r>
        <w:rPr>
          <w:sz w:val="24"/>
        </w:rPr>
        <w:t>operação</w:t>
      </w:r>
    </w:p>
    <w:p>
      <w:pPr>
        <w:pStyle w:val="BodyText"/>
        <w:spacing w:before="10"/>
        <w:rPr>
          <w:sz w:val="28"/>
        </w:rPr>
      </w:pPr>
      <w:r>
        <w:rPr/>
        <w:pict>
          <v:shape style="position:absolute;margin-left:56.700001pt;margin-top:18.631104pt;width:510.3pt;height:.1pt;mso-position-horizontal-relative:page;mso-position-vertical-relative:paragraph;z-index:-251650048;mso-wrap-distance-left:0;mso-wrap-distance-right:0" coordorigin="1134,373" coordsize="10206,0" path="m1134,373l11340,373e" filled="false" stroked="true" strokeweight=".1pt" strokecolor="#000000">
            <v:path arrowok="t"/>
            <v:stroke dashstyle="solid"/>
            <w10:wrap type="topAndBottom"/>
          </v:shape>
        </w:pict>
      </w:r>
    </w:p>
    <w:p>
      <w:pPr>
        <w:spacing w:after="0"/>
        <w:rPr>
          <w:sz w:val="28"/>
        </w:rPr>
        <w:sectPr>
          <w:headerReference w:type="default" r:id="rId13"/>
          <w:footerReference w:type="default" r:id="rId14"/>
          <w:pgSz w:w="11900" w:h="16840"/>
          <w:pgMar w:header="622" w:footer="520" w:top="3040" w:bottom="720" w:left="500" w:right="440"/>
          <w:pgNumType w:start="5"/>
        </w:sectPr>
      </w:pPr>
    </w:p>
    <w:p>
      <w:pPr>
        <w:pStyle w:val="BodyText"/>
        <w:spacing w:before="6"/>
        <w:rPr>
          <w:sz w:val="16"/>
        </w:rPr>
      </w:pPr>
      <w:r>
        <w:rPr/>
        <w:pict>
          <v:shape style="position:absolute;margin-left:576.757813pt;margin-top:415.914032pt;width:10.95pt;height:387.1pt;mso-position-horizontal-relative:page;mso-position-vertical-relative:page;z-index:251669504" type="#_x0000_t202" filled="false" stroked="false">
            <v:textbox inset="0,0,0,0" style="layout-flow:vertical;mso-layout-flow-alt:bottom-to-top">
              <w:txbxContent>
                <w:p>
                  <w:pPr>
                    <w:spacing w:before="14"/>
                    <w:ind w:left="20" w:right="0" w:firstLine="0"/>
                    <w:jc w:val="left"/>
                    <w:rPr>
                      <w:sz w:val="16"/>
                    </w:rPr>
                  </w:pPr>
                  <w:r>
                    <w:rPr>
                      <w:color w:val="A9A9A9"/>
                      <w:sz w:val="16"/>
                    </w:rPr>
                    <w:t>Este documento foi assinado via DocFlow por José Augusto Pereira de Carvalho e Valmor Barbosa Bezerra</w:t>
                  </w:r>
                </w:p>
              </w:txbxContent>
            </v:textbox>
            <w10:wrap type="none"/>
          </v:shape>
        </w:pict>
      </w:r>
    </w:p>
    <w:p>
      <w:pPr>
        <w:pStyle w:val="BodyText"/>
        <w:spacing w:before="93"/>
        <w:ind w:left="635" w:right="181"/>
        <w:jc w:val="both"/>
      </w:pPr>
      <w:r>
        <w:rPr/>
        <w:t>está contemplada no plano de trabalho, bem como se os valores das compras, serviços e/ou obras que se pretende contratar estão condizentes com os praticados no mercado, conforme disposto no art. 7° do Decreto (Estadual) nº</w:t>
      </w:r>
      <w:r>
        <w:rPr>
          <w:spacing w:val="-6"/>
        </w:rPr>
        <w:t> </w:t>
      </w:r>
      <w:r>
        <w:rPr/>
        <w:t>30.874/2017.</w:t>
      </w:r>
    </w:p>
    <w:p>
      <w:pPr>
        <w:pStyle w:val="BodyText"/>
        <w:rPr>
          <w:sz w:val="26"/>
        </w:rPr>
      </w:pPr>
    </w:p>
    <w:p>
      <w:pPr>
        <w:pStyle w:val="BodyText"/>
        <w:rPr>
          <w:sz w:val="22"/>
        </w:rPr>
      </w:pPr>
    </w:p>
    <w:p>
      <w:pPr>
        <w:pStyle w:val="Heading2"/>
        <w:jc w:val="both"/>
        <w:rPr>
          <w:u w:val="none"/>
        </w:rPr>
      </w:pPr>
      <w:r>
        <w:rPr>
          <w:u w:val="single"/>
        </w:rPr>
        <w:t>CLÁUSULA </w:t>
      </w:r>
      <w:r>
        <w:rPr>
          <w:spacing w:val="-4"/>
          <w:u w:val="single"/>
        </w:rPr>
        <w:t>SEXTA </w:t>
      </w:r>
      <w:r>
        <w:rPr>
          <w:u w:val="single"/>
        </w:rPr>
        <w:t>- DA EXECUÇÃO DAS</w:t>
      </w:r>
      <w:r>
        <w:rPr>
          <w:spacing w:val="-34"/>
          <w:u w:val="single"/>
        </w:rPr>
        <w:t> </w:t>
      </w:r>
      <w:r>
        <w:rPr>
          <w:u w:val="single"/>
        </w:rPr>
        <w:t>DESPESAS</w:t>
      </w:r>
    </w:p>
    <w:p>
      <w:pPr>
        <w:pStyle w:val="BodyText"/>
        <w:rPr>
          <w:b/>
          <w:sz w:val="16"/>
        </w:rPr>
      </w:pPr>
    </w:p>
    <w:p>
      <w:pPr>
        <w:pStyle w:val="ListParagraph"/>
        <w:numPr>
          <w:ilvl w:val="1"/>
          <w:numId w:val="4"/>
        </w:numPr>
        <w:tabs>
          <w:tab w:pos="2001" w:val="left" w:leader="none"/>
        </w:tabs>
        <w:spacing w:line="240" w:lineRule="auto" w:before="92" w:after="0"/>
        <w:ind w:left="635" w:right="184" w:firstLine="856"/>
        <w:jc w:val="both"/>
        <w:rPr>
          <w:sz w:val="24"/>
        </w:rPr>
      </w:pPr>
      <w:r>
        <w:rPr>
          <w:sz w:val="24"/>
        </w:rPr>
        <w:t>O presente </w:t>
      </w:r>
      <w:r>
        <w:rPr>
          <w:spacing w:val="-6"/>
          <w:sz w:val="24"/>
        </w:rPr>
        <w:t>Termo </w:t>
      </w:r>
      <w:r>
        <w:rPr>
          <w:sz w:val="24"/>
        </w:rPr>
        <w:t>de Fomento deverá ser executado fielmente pelos partícipes, de acordo com as cláusulas pactuadas e as normas de regência, respondendo cada uma pelas consequências de sua inexecução total ou</w:t>
      </w:r>
      <w:r>
        <w:rPr>
          <w:spacing w:val="-1"/>
          <w:sz w:val="24"/>
        </w:rPr>
        <w:t> </w:t>
      </w:r>
      <w:r>
        <w:rPr>
          <w:sz w:val="24"/>
        </w:rPr>
        <w:t>parcial.</w:t>
      </w:r>
    </w:p>
    <w:p>
      <w:pPr>
        <w:pStyle w:val="BodyText"/>
      </w:pPr>
    </w:p>
    <w:p>
      <w:pPr>
        <w:pStyle w:val="ListParagraph"/>
        <w:numPr>
          <w:ilvl w:val="1"/>
          <w:numId w:val="4"/>
        </w:numPr>
        <w:tabs>
          <w:tab w:pos="2038" w:val="left" w:leader="none"/>
        </w:tabs>
        <w:spacing w:line="240" w:lineRule="auto" w:before="0" w:after="0"/>
        <w:ind w:left="2038" w:right="0" w:hanging="546"/>
        <w:jc w:val="left"/>
        <w:rPr>
          <w:sz w:val="24"/>
        </w:rPr>
      </w:pPr>
      <w:r>
        <w:rPr>
          <w:sz w:val="24"/>
        </w:rPr>
        <w:t>É vedado ao</w:t>
      </w:r>
      <w:r>
        <w:rPr>
          <w:spacing w:val="3"/>
          <w:sz w:val="24"/>
        </w:rPr>
        <w:t> </w:t>
      </w:r>
      <w:r>
        <w:rPr>
          <w:b/>
          <w:sz w:val="24"/>
        </w:rPr>
        <w:t>PROPONENTE</w:t>
      </w:r>
      <w:r>
        <w:rPr>
          <w:sz w:val="24"/>
        </w:rPr>
        <w:t>:</w:t>
      </w:r>
    </w:p>
    <w:p>
      <w:pPr>
        <w:pStyle w:val="BodyText"/>
        <w:ind w:left="2076" w:right="180"/>
        <w:jc w:val="both"/>
      </w:pPr>
      <w:r>
        <w:rPr>
          <w:b/>
        </w:rPr>
        <w:t>I - </w:t>
      </w:r>
      <w:r>
        <w:rPr/>
        <w:t>Utilizar, ainda que em caráter emergencial, os recursos em finalidade diversa da estabelecida no Plano de Trabalho e nas vedadas pelo inciso X do art. 167 da Constituição Federal ;</w:t>
      </w:r>
    </w:p>
    <w:p>
      <w:pPr>
        <w:pStyle w:val="BodyText"/>
        <w:ind w:left="2076" w:right="180"/>
        <w:jc w:val="both"/>
      </w:pPr>
      <w:r>
        <w:rPr>
          <w:b/>
        </w:rPr>
        <w:t>lI - </w:t>
      </w:r>
      <w:r>
        <w:rPr/>
        <w:t>Pagar, a qualquer título, servidor ou empregado público, integrante de quadro de pessoal de órgão ou entidade publica da administração direta ou indireta de quaisquer esferas de poder, por serviços de consultoria ou assistência técnica;</w:t>
      </w:r>
    </w:p>
    <w:p>
      <w:pPr>
        <w:pStyle w:val="BodyText"/>
        <w:ind w:left="2076" w:right="176"/>
        <w:jc w:val="both"/>
      </w:pPr>
      <w:r>
        <w:rPr>
          <w:b/>
        </w:rPr>
        <w:t>IlI - </w:t>
      </w:r>
      <w:r>
        <w:rPr/>
        <w:t>Efetuar pagamento em data posterior à vigência deste Termo de Fomento, salvo se expressamente autorizado pela autoridade competente da </w:t>
      </w:r>
      <w:r>
        <w:rPr>
          <w:b/>
        </w:rPr>
        <w:t>SEDETEC </w:t>
      </w:r>
      <w:r>
        <w:rPr/>
        <w:t>e desde que o fato gerador da despesa tenha ocorrido durante sua vigência;</w:t>
      </w:r>
    </w:p>
    <w:p>
      <w:pPr>
        <w:pStyle w:val="BodyText"/>
      </w:pPr>
    </w:p>
    <w:p>
      <w:pPr>
        <w:pStyle w:val="ListParagraph"/>
        <w:numPr>
          <w:ilvl w:val="1"/>
          <w:numId w:val="4"/>
        </w:numPr>
        <w:tabs>
          <w:tab w:pos="2088" w:val="left" w:leader="none"/>
        </w:tabs>
        <w:spacing w:line="240" w:lineRule="auto" w:before="0" w:after="0"/>
        <w:ind w:left="635" w:right="177" w:firstLine="856"/>
        <w:jc w:val="both"/>
        <w:rPr>
          <w:sz w:val="24"/>
        </w:rPr>
      </w:pPr>
      <w:r>
        <w:rPr>
          <w:spacing w:val="-7"/>
          <w:sz w:val="24"/>
        </w:rPr>
        <w:t>Toda </w:t>
      </w:r>
      <w:r>
        <w:rPr>
          <w:sz w:val="24"/>
        </w:rPr>
        <w:t>a movimentação de recursos será realizada mediante transferência eletrônica sujeita à identificação do beneficiário final e à obrigatoriedade de depósito em sua conta bancária ou pix, cuja chave seja unicamente o CPF ou CNPJ, salvo quando autorizado o pagamento em espécie, na forma do art. 38, §§ 1° a 4°, do Decreto (Federal) nº</w:t>
      </w:r>
      <w:r>
        <w:rPr>
          <w:spacing w:val="-27"/>
          <w:sz w:val="24"/>
        </w:rPr>
        <w:t> </w:t>
      </w:r>
      <w:r>
        <w:rPr>
          <w:sz w:val="24"/>
        </w:rPr>
        <w:t>8.726/2016.</w:t>
      </w:r>
    </w:p>
    <w:p>
      <w:pPr>
        <w:pStyle w:val="BodyText"/>
      </w:pPr>
    </w:p>
    <w:p>
      <w:pPr>
        <w:pStyle w:val="ListParagraph"/>
        <w:numPr>
          <w:ilvl w:val="1"/>
          <w:numId w:val="4"/>
        </w:numPr>
        <w:tabs>
          <w:tab w:pos="1980" w:val="left" w:leader="none"/>
        </w:tabs>
        <w:spacing w:line="240" w:lineRule="auto" w:before="0" w:after="0"/>
        <w:ind w:left="635" w:right="177" w:firstLine="856"/>
        <w:jc w:val="both"/>
        <w:rPr>
          <w:sz w:val="24"/>
        </w:rPr>
      </w:pPr>
      <w:r>
        <w:rPr>
          <w:sz w:val="24"/>
        </w:rPr>
        <w:t>Caso os recursos transferidos não sejam utilizados no prazo de 12 (doze) meses, o </w:t>
      </w:r>
      <w:r>
        <w:rPr>
          <w:spacing w:val="-6"/>
          <w:sz w:val="24"/>
        </w:rPr>
        <w:t>Termo </w:t>
      </w:r>
      <w:r>
        <w:rPr>
          <w:sz w:val="24"/>
        </w:rPr>
        <w:t>de Fomento deverá ser rescindido, salvo quando houver execução parcial do objeto, desde que previamente justificado pelo gestor da parceria e autorizado pelo Secretário de Estado da</w:t>
      </w:r>
      <w:r>
        <w:rPr>
          <w:spacing w:val="-3"/>
          <w:sz w:val="24"/>
        </w:rPr>
        <w:t> </w:t>
      </w:r>
      <w:r>
        <w:rPr>
          <w:sz w:val="24"/>
        </w:rPr>
        <w:t>SEDETEC.</w:t>
      </w:r>
    </w:p>
    <w:p>
      <w:pPr>
        <w:pStyle w:val="BodyText"/>
        <w:rPr>
          <w:sz w:val="26"/>
        </w:rPr>
      </w:pPr>
    </w:p>
    <w:p>
      <w:pPr>
        <w:pStyle w:val="BodyText"/>
        <w:rPr>
          <w:sz w:val="22"/>
        </w:rPr>
      </w:pPr>
    </w:p>
    <w:p>
      <w:pPr>
        <w:pStyle w:val="Heading2"/>
        <w:rPr>
          <w:u w:val="none"/>
        </w:rPr>
      </w:pPr>
      <w:r>
        <w:rPr>
          <w:u w:val="single"/>
        </w:rPr>
        <w:t>CLÁUSULA SÉTIMA - DAS COMPRAS E CONTRATAÇÕES</w:t>
      </w:r>
    </w:p>
    <w:p>
      <w:pPr>
        <w:pStyle w:val="BodyText"/>
        <w:rPr>
          <w:b/>
          <w:sz w:val="16"/>
        </w:rPr>
      </w:pPr>
    </w:p>
    <w:p>
      <w:pPr>
        <w:pStyle w:val="ListParagraph"/>
        <w:numPr>
          <w:ilvl w:val="1"/>
          <w:numId w:val="5"/>
        </w:numPr>
        <w:tabs>
          <w:tab w:pos="1976" w:val="left" w:leader="none"/>
        </w:tabs>
        <w:spacing w:line="240" w:lineRule="auto" w:before="92" w:after="0"/>
        <w:ind w:left="635" w:right="177" w:firstLine="856"/>
        <w:jc w:val="both"/>
        <w:rPr>
          <w:sz w:val="24"/>
        </w:rPr>
      </w:pPr>
      <w:r>
        <w:rPr>
          <w:b/>
          <w:sz w:val="24"/>
        </w:rPr>
        <w:t>O PROPONENTE </w:t>
      </w:r>
      <w:r>
        <w:rPr>
          <w:sz w:val="24"/>
        </w:rPr>
        <w:t>adotará métodos usualmente utilizados pelo setor privado para a realização de compras e contratações de bens e serviços com recursos transferidos pela SEDETEC, sendo facultada a utilização do portal de compras disponibilizado pela administração pública</w:t>
      </w:r>
      <w:r>
        <w:rPr>
          <w:spacing w:val="-1"/>
          <w:sz w:val="24"/>
        </w:rPr>
        <w:t> </w:t>
      </w:r>
      <w:r>
        <w:rPr>
          <w:sz w:val="24"/>
        </w:rPr>
        <w:t>estadual.</w:t>
      </w:r>
    </w:p>
    <w:p>
      <w:pPr>
        <w:pStyle w:val="BodyText"/>
      </w:pPr>
    </w:p>
    <w:p>
      <w:pPr>
        <w:pStyle w:val="ListParagraph"/>
        <w:numPr>
          <w:ilvl w:val="1"/>
          <w:numId w:val="5"/>
        </w:numPr>
        <w:tabs>
          <w:tab w:pos="2024" w:val="left" w:leader="none"/>
        </w:tabs>
        <w:spacing w:line="240" w:lineRule="auto" w:before="1" w:after="0"/>
        <w:ind w:left="635" w:right="178" w:firstLine="856"/>
        <w:jc w:val="both"/>
        <w:rPr>
          <w:sz w:val="24"/>
        </w:rPr>
      </w:pPr>
      <w:r>
        <w:rPr>
          <w:b/>
          <w:sz w:val="24"/>
        </w:rPr>
        <w:t>O PROPONENTE </w:t>
      </w:r>
      <w:r>
        <w:rPr>
          <w:sz w:val="24"/>
        </w:rPr>
        <w:t>deve verificar a compatibilidade entre o valor previsto para realização da despesa, aprovado no Plano de Trabalho, e o valor efetivo da compra ou contratação e, caso o valor efetivo da compra ou contratação seja superior ao previsto no Plano</w:t>
      </w:r>
      <w:r>
        <w:rPr>
          <w:spacing w:val="15"/>
          <w:sz w:val="24"/>
        </w:rPr>
        <w:t> </w:t>
      </w:r>
      <w:r>
        <w:rPr>
          <w:sz w:val="24"/>
        </w:rPr>
        <w:t>de</w:t>
      </w:r>
      <w:r>
        <w:rPr>
          <w:spacing w:val="9"/>
          <w:sz w:val="24"/>
        </w:rPr>
        <w:t> </w:t>
      </w:r>
      <w:r>
        <w:rPr>
          <w:sz w:val="24"/>
        </w:rPr>
        <w:t>Trabalho,</w:t>
      </w:r>
      <w:r>
        <w:rPr>
          <w:spacing w:val="14"/>
          <w:sz w:val="24"/>
        </w:rPr>
        <w:t> </w:t>
      </w:r>
      <w:r>
        <w:rPr>
          <w:sz w:val="24"/>
        </w:rPr>
        <w:t>deverá</w:t>
      </w:r>
      <w:r>
        <w:rPr>
          <w:spacing w:val="15"/>
          <w:sz w:val="24"/>
        </w:rPr>
        <w:t> </w:t>
      </w:r>
      <w:r>
        <w:rPr>
          <w:sz w:val="24"/>
        </w:rPr>
        <w:t>assegurar</w:t>
      </w:r>
      <w:r>
        <w:rPr>
          <w:spacing w:val="14"/>
          <w:sz w:val="24"/>
        </w:rPr>
        <w:t> </w:t>
      </w:r>
      <w:r>
        <w:rPr>
          <w:sz w:val="24"/>
        </w:rPr>
        <w:t>a</w:t>
      </w:r>
      <w:r>
        <w:rPr>
          <w:spacing w:val="16"/>
          <w:sz w:val="24"/>
        </w:rPr>
        <w:t> </w:t>
      </w:r>
      <w:r>
        <w:rPr>
          <w:sz w:val="24"/>
        </w:rPr>
        <w:t>compatibilidade</w:t>
      </w:r>
      <w:r>
        <w:rPr>
          <w:spacing w:val="15"/>
          <w:sz w:val="24"/>
        </w:rPr>
        <w:t> </w:t>
      </w:r>
      <w:r>
        <w:rPr>
          <w:sz w:val="24"/>
        </w:rPr>
        <w:t>do</w:t>
      </w:r>
      <w:r>
        <w:rPr>
          <w:spacing w:val="15"/>
          <w:sz w:val="24"/>
        </w:rPr>
        <w:t> </w:t>
      </w:r>
      <w:r>
        <w:rPr>
          <w:sz w:val="24"/>
        </w:rPr>
        <w:t>valor</w:t>
      </w:r>
      <w:r>
        <w:rPr>
          <w:spacing w:val="14"/>
          <w:sz w:val="24"/>
        </w:rPr>
        <w:t> </w:t>
      </w:r>
      <w:r>
        <w:rPr>
          <w:sz w:val="24"/>
        </w:rPr>
        <w:t>efetivo</w:t>
      </w:r>
      <w:r>
        <w:rPr>
          <w:spacing w:val="16"/>
          <w:sz w:val="24"/>
        </w:rPr>
        <w:t> </w:t>
      </w:r>
      <w:r>
        <w:rPr>
          <w:sz w:val="24"/>
        </w:rPr>
        <w:t>com</w:t>
      </w:r>
      <w:r>
        <w:rPr>
          <w:spacing w:val="14"/>
          <w:sz w:val="24"/>
        </w:rPr>
        <w:t> </w:t>
      </w:r>
      <w:r>
        <w:rPr>
          <w:sz w:val="24"/>
        </w:rPr>
        <w:t>os</w:t>
      </w:r>
      <w:r>
        <w:rPr>
          <w:spacing w:val="12"/>
          <w:sz w:val="24"/>
        </w:rPr>
        <w:t> </w:t>
      </w:r>
      <w:r>
        <w:rPr>
          <w:sz w:val="24"/>
        </w:rPr>
        <w:t>novos</w:t>
      </w:r>
      <w:r>
        <w:rPr>
          <w:spacing w:val="15"/>
          <w:sz w:val="24"/>
        </w:rPr>
        <w:t> </w:t>
      </w:r>
      <w:r>
        <w:rPr>
          <w:sz w:val="24"/>
        </w:rPr>
        <w:t>preços</w:t>
      </w:r>
    </w:p>
    <w:p>
      <w:pPr>
        <w:pStyle w:val="BodyText"/>
        <w:spacing w:before="10"/>
        <w:rPr>
          <w:sz w:val="28"/>
        </w:rPr>
      </w:pPr>
      <w:r>
        <w:rPr/>
        <w:pict>
          <v:shape style="position:absolute;margin-left:56.700001pt;margin-top:18.606251pt;width:510.3pt;height:.1pt;mso-position-horizontal-relative:page;mso-position-vertical-relative:paragraph;z-index:-251648000;mso-wrap-distance-left:0;mso-wrap-distance-right:0" coordorigin="1134,372" coordsize="10206,0" path="m1134,372l11340,372e" filled="false" stroked="true" strokeweight=".1pt" strokecolor="#000000">
            <v:path arrowok="t"/>
            <v:stroke dashstyle="solid"/>
            <w10:wrap type="topAndBottom"/>
          </v:shape>
        </w:pict>
      </w:r>
    </w:p>
    <w:p>
      <w:pPr>
        <w:spacing w:after="0"/>
        <w:rPr>
          <w:sz w:val="28"/>
        </w:rPr>
        <w:sectPr>
          <w:headerReference w:type="default" r:id="rId15"/>
          <w:footerReference w:type="default" r:id="rId16"/>
          <w:pgSz w:w="11900" w:h="16840"/>
          <w:pgMar w:header="622" w:footer="520" w:top="3040" w:bottom="720" w:left="500" w:right="440"/>
          <w:pgNumType w:start="6"/>
        </w:sectPr>
      </w:pPr>
    </w:p>
    <w:p>
      <w:pPr>
        <w:pStyle w:val="BodyText"/>
        <w:spacing w:before="6"/>
        <w:rPr>
          <w:sz w:val="16"/>
        </w:rPr>
      </w:pPr>
      <w:r>
        <w:rPr/>
        <w:pict>
          <v:shape style="position:absolute;margin-left:576.757813pt;margin-top:415.914032pt;width:10.95pt;height:387.1pt;mso-position-horizontal-relative:page;mso-position-vertical-relative:page;z-index:251671552" type="#_x0000_t202" filled="false" stroked="false">
            <v:textbox inset="0,0,0,0" style="layout-flow:vertical;mso-layout-flow-alt:bottom-to-top">
              <w:txbxContent>
                <w:p>
                  <w:pPr>
                    <w:spacing w:before="14"/>
                    <w:ind w:left="20" w:right="0" w:firstLine="0"/>
                    <w:jc w:val="left"/>
                    <w:rPr>
                      <w:sz w:val="16"/>
                    </w:rPr>
                  </w:pPr>
                  <w:r>
                    <w:rPr>
                      <w:color w:val="A9A9A9"/>
                      <w:sz w:val="16"/>
                    </w:rPr>
                    <w:t>Este documento foi assinado via DocFlow por José Augusto Pereira de Carvalho e Valmor Barbosa Bezerra</w:t>
                  </w:r>
                </w:p>
              </w:txbxContent>
            </v:textbox>
            <w10:wrap type="none"/>
          </v:shape>
        </w:pict>
      </w:r>
    </w:p>
    <w:p>
      <w:pPr>
        <w:pStyle w:val="BodyText"/>
        <w:spacing w:before="93"/>
        <w:ind w:left="635"/>
      </w:pPr>
      <w:r>
        <w:rPr/>
        <w:t>praticados no mercado, inclusive para fins de elaboração de relatório de que trata o art. 56 do Decreto n.º 8.726, de 27/04/2016, quando for o caso.</w:t>
      </w:r>
    </w:p>
    <w:p>
      <w:pPr>
        <w:pStyle w:val="BodyText"/>
      </w:pPr>
    </w:p>
    <w:p>
      <w:pPr>
        <w:pStyle w:val="ListParagraph"/>
        <w:numPr>
          <w:ilvl w:val="1"/>
          <w:numId w:val="5"/>
        </w:numPr>
        <w:tabs>
          <w:tab w:pos="1972" w:val="left" w:leader="none"/>
        </w:tabs>
        <w:spacing w:line="240" w:lineRule="auto" w:before="0" w:after="0"/>
        <w:ind w:left="635" w:right="178" w:firstLine="856"/>
        <w:jc w:val="both"/>
        <w:rPr>
          <w:sz w:val="24"/>
        </w:rPr>
      </w:pPr>
      <w:r>
        <w:rPr>
          <w:sz w:val="24"/>
        </w:rPr>
        <w:t>Para fins de comprovação das despesas, o </w:t>
      </w:r>
      <w:r>
        <w:rPr>
          <w:b/>
          <w:sz w:val="24"/>
        </w:rPr>
        <w:t>PROPONENTE </w:t>
      </w:r>
      <w:r>
        <w:rPr>
          <w:sz w:val="24"/>
        </w:rPr>
        <w:t>deverá obter de seus fornecedores e prestadores de serviços notas, comprovantes fiscais ou recibos, com data, </w:t>
      </w:r>
      <w:r>
        <w:rPr>
          <w:spacing w:val="-3"/>
          <w:sz w:val="24"/>
        </w:rPr>
        <w:t>valor, </w:t>
      </w:r>
      <w:r>
        <w:rPr>
          <w:sz w:val="24"/>
        </w:rPr>
        <w:t>nome e número de inscrição no CNPJ da organização da sociedade civil e do CNPJ ou CPF do fornecedor ou prestador de serviço, bem como suas certidões negativas de débitos, e deverá manter a guarda dos documentos originais pelo prazo de dez anos, contado do dia útil subsequente ao da apresentação da prestação de contas ou do decurso do prazo para a apresentação da prestação de</w:t>
      </w:r>
      <w:r>
        <w:rPr>
          <w:spacing w:val="-3"/>
          <w:sz w:val="24"/>
        </w:rPr>
        <w:t> </w:t>
      </w:r>
      <w:r>
        <w:rPr>
          <w:sz w:val="24"/>
        </w:rPr>
        <w:t>contas.</w:t>
      </w:r>
    </w:p>
    <w:p>
      <w:pPr>
        <w:pStyle w:val="BodyText"/>
      </w:pPr>
    </w:p>
    <w:p>
      <w:pPr>
        <w:pStyle w:val="ListParagraph"/>
        <w:numPr>
          <w:ilvl w:val="1"/>
          <w:numId w:val="5"/>
        </w:numPr>
        <w:tabs>
          <w:tab w:pos="2020" w:val="left" w:leader="none"/>
        </w:tabs>
        <w:spacing w:line="240" w:lineRule="auto" w:before="0" w:after="0"/>
        <w:ind w:left="635" w:right="184" w:firstLine="856"/>
        <w:jc w:val="both"/>
        <w:rPr>
          <w:sz w:val="24"/>
        </w:rPr>
      </w:pPr>
      <w:r>
        <w:rPr>
          <w:sz w:val="24"/>
        </w:rPr>
        <w:t>O </w:t>
      </w:r>
      <w:r>
        <w:rPr>
          <w:b/>
          <w:sz w:val="24"/>
        </w:rPr>
        <w:t>PROPONENTE </w:t>
      </w:r>
      <w:r>
        <w:rPr>
          <w:sz w:val="24"/>
        </w:rPr>
        <w:t>deverá registrar em seu sitio oficial os dados referentes às despesas</w:t>
      </w:r>
      <w:r>
        <w:rPr>
          <w:spacing w:val="-2"/>
          <w:sz w:val="24"/>
        </w:rPr>
        <w:t> </w:t>
      </w:r>
      <w:r>
        <w:rPr>
          <w:sz w:val="24"/>
        </w:rPr>
        <w:t>realizadas.</w:t>
      </w:r>
    </w:p>
    <w:p>
      <w:pPr>
        <w:pStyle w:val="BodyText"/>
        <w:rPr>
          <w:sz w:val="26"/>
        </w:rPr>
      </w:pPr>
    </w:p>
    <w:p>
      <w:pPr>
        <w:pStyle w:val="BodyText"/>
        <w:rPr>
          <w:sz w:val="22"/>
        </w:rPr>
      </w:pPr>
    </w:p>
    <w:p>
      <w:pPr>
        <w:pStyle w:val="Heading2"/>
        <w:rPr>
          <w:u w:val="none"/>
        </w:rPr>
      </w:pPr>
      <w:r>
        <w:rPr>
          <w:u w:val="single"/>
        </w:rPr>
        <w:t>CLÁUSULA OITAVA - DO MONITORAMENTO E DA AVALIAÇÃO DE RESULTADOS</w:t>
      </w:r>
    </w:p>
    <w:p>
      <w:pPr>
        <w:pStyle w:val="BodyText"/>
        <w:rPr>
          <w:b/>
          <w:sz w:val="16"/>
        </w:rPr>
      </w:pPr>
    </w:p>
    <w:p>
      <w:pPr>
        <w:pStyle w:val="ListParagraph"/>
        <w:numPr>
          <w:ilvl w:val="1"/>
          <w:numId w:val="6"/>
        </w:numPr>
        <w:tabs>
          <w:tab w:pos="1960" w:val="left" w:leader="none"/>
        </w:tabs>
        <w:spacing w:line="240" w:lineRule="auto" w:before="92" w:after="0"/>
        <w:ind w:left="635" w:right="177" w:firstLine="856"/>
        <w:jc w:val="both"/>
        <w:rPr>
          <w:sz w:val="24"/>
        </w:rPr>
      </w:pPr>
      <w:r>
        <w:rPr>
          <w:sz w:val="24"/>
        </w:rPr>
        <w:t>A execução do objeto da parceria será acompanhada pela </w:t>
      </w:r>
      <w:r>
        <w:rPr>
          <w:b/>
          <w:sz w:val="24"/>
        </w:rPr>
        <w:t>SEDETEC </w:t>
      </w:r>
      <w:r>
        <w:rPr>
          <w:sz w:val="24"/>
        </w:rPr>
        <w:t>por meio de ações de monitoramento e avaliação, que terão caráter preventivo e saneador objetivando a gestão adequada e regular da</w:t>
      </w:r>
      <w:r>
        <w:rPr>
          <w:spacing w:val="-6"/>
          <w:sz w:val="24"/>
        </w:rPr>
        <w:t> </w:t>
      </w:r>
      <w:r>
        <w:rPr>
          <w:sz w:val="24"/>
        </w:rPr>
        <w:t>parceria.</w:t>
      </w:r>
    </w:p>
    <w:p>
      <w:pPr>
        <w:pStyle w:val="BodyText"/>
      </w:pPr>
    </w:p>
    <w:p>
      <w:pPr>
        <w:pStyle w:val="ListParagraph"/>
        <w:numPr>
          <w:ilvl w:val="1"/>
          <w:numId w:val="6"/>
        </w:numPr>
        <w:tabs>
          <w:tab w:pos="1977" w:val="left" w:leader="none"/>
        </w:tabs>
        <w:spacing w:line="240" w:lineRule="auto" w:before="0" w:after="0"/>
        <w:ind w:left="635" w:right="178" w:firstLine="856"/>
        <w:jc w:val="both"/>
        <w:rPr>
          <w:sz w:val="24"/>
        </w:rPr>
      </w:pPr>
      <w:r>
        <w:rPr>
          <w:sz w:val="24"/>
        </w:rPr>
        <w:t>As ações de monitoramento e avaliação contemplarão a análise das informações acerca do processamento da parceria, incluída a possibilidade de consulta às movimentações da conta bancária específica da parceria, além da verificação, análise e manifestação sobre eventuais denúncias existentes relacionadas à</w:t>
      </w:r>
      <w:r>
        <w:rPr>
          <w:spacing w:val="-3"/>
          <w:sz w:val="24"/>
        </w:rPr>
        <w:t> </w:t>
      </w:r>
      <w:r>
        <w:rPr>
          <w:sz w:val="24"/>
        </w:rPr>
        <w:t>parceria.</w:t>
      </w:r>
    </w:p>
    <w:p>
      <w:pPr>
        <w:pStyle w:val="BodyText"/>
      </w:pPr>
    </w:p>
    <w:p>
      <w:pPr>
        <w:pStyle w:val="ListParagraph"/>
        <w:numPr>
          <w:ilvl w:val="1"/>
          <w:numId w:val="6"/>
        </w:numPr>
        <w:tabs>
          <w:tab w:pos="2020" w:val="left" w:leader="none"/>
        </w:tabs>
        <w:spacing w:line="240" w:lineRule="auto" w:before="0" w:after="0"/>
        <w:ind w:left="635" w:right="177" w:firstLine="856"/>
        <w:jc w:val="both"/>
        <w:rPr>
          <w:sz w:val="24"/>
        </w:rPr>
      </w:pPr>
      <w:r>
        <w:rPr>
          <w:sz w:val="24"/>
        </w:rPr>
        <w:t>A </w:t>
      </w:r>
      <w:r>
        <w:rPr>
          <w:b/>
          <w:sz w:val="24"/>
        </w:rPr>
        <w:t>SEDETEC </w:t>
      </w:r>
      <w:r>
        <w:rPr>
          <w:sz w:val="24"/>
        </w:rPr>
        <w:t>designará servidor público que atuará como gestor da parceria, responsável pelo monitoramento sistemático da parceria, podendo designar também fiscais que farão o acompanhamento da execução em meio eletrônico e/ou com visitas “</w:t>
      </w:r>
      <w:r>
        <w:rPr>
          <w:i/>
          <w:sz w:val="24"/>
        </w:rPr>
        <w:t>In</w:t>
      </w:r>
      <w:r>
        <w:rPr>
          <w:i/>
          <w:spacing w:val="-19"/>
          <w:sz w:val="24"/>
        </w:rPr>
        <w:t> </w:t>
      </w:r>
      <w:r>
        <w:rPr>
          <w:i/>
          <w:sz w:val="24"/>
        </w:rPr>
        <w:t>loco”</w:t>
      </w:r>
      <w:r>
        <w:rPr>
          <w:sz w:val="24"/>
        </w:rPr>
        <w:t>.</w:t>
      </w:r>
    </w:p>
    <w:p>
      <w:pPr>
        <w:pStyle w:val="BodyText"/>
      </w:pPr>
    </w:p>
    <w:p>
      <w:pPr>
        <w:pStyle w:val="ListParagraph"/>
        <w:numPr>
          <w:ilvl w:val="1"/>
          <w:numId w:val="6"/>
        </w:numPr>
        <w:tabs>
          <w:tab w:pos="1989" w:val="left" w:leader="none"/>
        </w:tabs>
        <w:spacing w:line="240" w:lineRule="auto" w:before="0" w:after="0"/>
        <w:ind w:left="635" w:right="179" w:firstLine="856"/>
        <w:jc w:val="both"/>
        <w:rPr>
          <w:sz w:val="24"/>
        </w:rPr>
      </w:pPr>
      <w:r>
        <w:rPr>
          <w:sz w:val="24"/>
        </w:rPr>
        <w:t>A </w:t>
      </w:r>
      <w:r>
        <w:rPr>
          <w:b/>
          <w:sz w:val="24"/>
        </w:rPr>
        <w:t>SEDETEC </w:t>
      </w:r>
      <w:r>
        <w:rPr>
          <w:sz w:val="24"/>
        </w:rPr>
        <w:t>realizará visita técnica “</w:t>
      </w:r>
      <w:r>
        <w:rPr>
          <w:i/>
          <w:sz w:val="24"/>
        </w:rPr>
        <w:t>In loco” </w:t>
      </w:r>
      <w:r>
        <w:rPr>
          <w:sz w:val="24"/>
        </w:rPr>
        <w:t>para subsidiar o monitoramento da parceria, nas hipóteses em que esta for essencial para a verificação do cumprimento do objeto da parceria e do alcance das</w:t>
      </w:r>
      <w:r>
        <w:rPr>
          <w:spacing w:val="-7"/>
          <w:sz w:val="24"/>
        </w:rPr>
        <w:t> </w:t>
      </w:r>
      <w:r>
        <w:rPr>
          <w:sz w:val="24"/>
        </w:rPr>
        <w:t>metas.</w:t>
      </w:r>
    </w:p>
    <w:p>
      <w:pPr>
        <w:pStyle w:val="BodyText"/>
      </w:pPr>
    </w:p>
    <w:p>
      <w:pPr>
        <w:pStyle w:val="ListParagraph"/>
        <w:numPr>
          <w:ilvl w:val="1"/>
          <w:numId w:val="6"/>
        </w:numPr>
        <w:tabs>
          <w:tab w:pos="2001" w:val="left" w:leader="none"/>
        </w:tabs>
        <w:spacing w:line="240" w:lineRule="auto" w:before="0" w:after="0"/>
        <w:ind w:left="635" w:right="178" w:firstLine="856"/>
        <w:jc w:val="both"/>
        <w:rPr>
          <w:sz w:val="24"/>
        </w:rPr>
      </w:pPr>
      <w:r>
        <w:rPr>
          <w:sz w:val="24"/>
        </w:rPr>
        <w:t>Sempre que houver visita técnica “</w:t>
      </w:r>
      <w:r>
        <w:rPr>
          <w:i/>
          <w:sz w:val="24"/>
        </w:rPr>
        <w:t>In loco”</w:t>
      </w:r>
      <w:r>
        <w:rPr>
          <w:sz w:val="24"/>
        </w:rPr>
        <w:t>, o resultado será circunstanciado em relatório de visita</w:t>
      </w:r>
      <w:r>
        <w:rPr>
          <w:spacing w:val="-2"/>
          <w:sz w:val="24"/>
        </w:rPr>
        <w:t> </w:t>
      </w:r>
      <w:r>
        <w:rPr>
          <w:sz w:val="24"/>
        </w:rPr>
        <w:t>técnica.</w:t>
      </w:r>
    </w:p>
    <w:p>
      <w:pPr>
        <w:pStyle w:val="BodyText"/>
      </w:pPr>
    </w:p>
    <w:p>
      <w:pPr>
        <w:pStyle w:val="ListParagraph"/>
        <w:numPr>
          <w:ilvl w:val="1"/>
          <w:numId w:val="6"/>
        </w:numPr>
        <w:tabs>
          <w:tab w:pos="1965" w:val="left" w:leader="none"/>
        </w:tabs>
        <w:spacing w:line="240" w:lineRule="auto" w:before="1" w:after="0"/>
        <w:ind w:left="635" w:right="182" w:firstLine="856"/>
        <w:jc w:val="both"/>
        <w:rPr>
          <w:sz w:val="24"/>
        </w:rPr>
      </w:pPr>
      <w:r>
        <w:rPr>
          <w:sz w:val="24"/>
        </w:rPr>
        <w:t>A visita técnica “</w:t>
      </w:r>
      <w:r>
        <w:rPr>
          <w:i/>
          <w:sz w:val="24"/>
        </w:rPr>
        <w:t>In loco” </w:t>
      </w:r>
      <w:r>
        <w:rPr>
          <w:sz w:val="24"/>
        </w:rPr>
        <w:t>não se confunde com as ações de fiscalização e auditoria realizadas pela </w:t>
      </w:r>
      <w:r>
        <w:rPr>
          <w:i/>
          <w:sz w:val="24"/>
        </w:rPr>
        <w:t>SEDETEC</w:t>
      </w:r>
      <w:r>
        <w:rPr>
          <w:sz w:val="24"/>
        </w:rPr>
        <w:t>, pelos órgãos de controle interno e</w:t>
      </w:r>
      <w:r>
        <w:rPr>
          <w:spacing w:val="-6"/>
          <w:sz w:val="24"/>
        </w:rPr>
        <w:t> </w:t>
      </w:r>
      <w:r>
        <w:rPr>
          <w:sz w:val="24"/>
        </w:rPr>
        <w:t>externo.</w:t>
      </w:r>
    </w:p>
    <w:p>
      <w:pPr>
        <w:pStyle w:val="BodyText"/>
        <w:rPr>
          <w:sz w:val="26"/>
        </w:rPr>
      </w:pPr>
    </w:p>
    <w:p>
      <w:pPr>
        <w:pStyle w:val="BodyText"/>
        <w:spacing w:before="11"/>
        <w:rPr>
          <w:sz w:val="21"/>
        </w:rPr>
      </w:pPr>
    </w:p>
    <w:p>
      <w:pPr>
        <w:pStyle w:val="Heading2"/>
        <w:rPr>
          <w:u w:val="none"/>
        </w:rPr>
      </w:pPr>
      <w:r>
        <w:rPr>
          <w:u w:val="single"/>
        </w:rPr>
        <w:t>CLÁUSULA NONA - DO PRAZO DE VIGÊNCIA</w:t>
      </w:r>
    </w:p>
    <w:p>
      <w:pPr>
        <w:pStyle w:val="BodyText"/>
        <w:rPr>
          <w:b/>
          <w:sz w:val="16"/>
        </w:rPr>
      </w:pPr>
    </w:p>
    <w:p>
      <w:pPr>
        <w:pStyle w:val="ListParagraph"/>
        <w:numPr>
          <w:ilvl w:val="1"/>
          <w:numId w:val="7"/>
        </w:numPr>
        <w:tabs>
          <w:tab w:pos="1972" w:val="left" w:leader="none"/>
        </w:tabs>
        <w:spacing w:line="240" w:lineRule="auto" w:before="92" w:after="0"/>
        <w:ind w:left="1972" w:right="0" w:hanging="480"/>
        <w:jc w:val="left"/>
        <w:rPr>
          <w:sz w:val="24"/>
        </w:rPr>
      </w:pPr>
      <w:r>
        <w:rPr>
          <w:sz w:val="24"/>
        </w:rPr>
        <w:t>O prazo de vigência deste </w:t>
      </w:r>
      <w:r>
        <w:rPr>
          <w:spacing w:val="-6"/>
          <w:sz w:val="24"/>
        </w:rPr>
        <w:t>Termo </w:t>
      </w:r>
      <w:r>
        <w:rPr>
          <w:sz w:val="24"/>
        </w:rPr>
        <w:t>de Fomento será de 12 (doze) meses, a partir</w:t>
      </w:r>
      <w:r>
        <w:rPr>
          <w:spacing w:val="-12"/>
          <w:sz w:val="24"/>
        </w:rPr>
        <w:t> </w:t>
      </w:r>
      <w:r>
        <w:rPr>
          <w:sz w:val="24"/>
        </w:rPr>
        <w:t>da</w:t>
      </w:r>
    </w:p>
    <w:p>
      <w:pPr>
        <w:pStyle w:val="BodyText"/>
        <w:spacing w:before="10"/>
        <w:rPr>
          <w:sz w:val="28"/>
        </w:rPr>
      </w:pPr>
      <w:r>
        <w:rPr/>
        <w:pict>
          <v:shape style="position:absolute;margin-left:56.700001pt;margin-top:18.631201pt;width:510.3pt;height:.1pt;mso-position-horizontal-relative:page;mso-position-vertical-relative:paragraph;z-index:-251645952;mso-wrap-distance-left:0;mso-wrap-distance-right:0" coordorigin="1134,373" coordsize="10206,0" path="m1134,373l11340,373e" filled="false" stroked="true" strokeweight=".1pt" strokecolor="#000000">
            <v:path arrowok="t"/>
            <v:stroke dashstyle="solid"/>
            <w10:wrap type="topAndBottom"/>
          </v:shape>
        </w:pict>
      </w:r>
    </w:p>
    <w:p>
      <w:pPr>
        <w:spacing w:after="0"/>
        <w:rPr>
          <w:sz w:val="28"/>
        </w:rPr>
        <w:sectPr>
          <w:headerReference w:type="default" r:id="rId17"/>
          <w:footerReference w:type="default" r:id="rId18"/>
          <w:pgSz w:w="11900" w:h="16840"/>
          <w:pgMar w:header="622" w:footer="520" w:top="3040" w:bottom="720" w:left="500" w:right="440"/>
          <w:pgNumType w:start="7"/>
        </w:sectPr>
      </w:pPr>
    </w:p>
    <w:p>
      <w:pPr>
        <w:pStyle w:val="BodyText"/>
        <w:spacing w:before="6"/>
        <w:rPr>
          <w:sz w:val="16"/>
        </w:rPr>
      </w:pPr>
      <w:r>
        <w:rPr/>
        <w:pict>
          <v:shape style="position:absolute;margin-left:576.757813pt;margin-top:415.914032pt;width:10.95pt;height:387.1pt;mso-position-horizontal-relative:page;mso-position-vertical-relative:page;z-index:251673600" type="#_x0000_t202" filled="false" stroked="false">
            <v:textbox inset="0,0,0,0" style="layout-flow:vertical;mso-layout-flow-alt:bottom-to-top">
              <w:txbxContent>
                <w:p>
                  <w:pPr>
                    <w:spacing w:before="14"/>
                    <w:ind w:left="20" w:right="0" w:firstLine="0"/>
                    <w:jc w:val="left"/>
                    <w:rPr>
                      <w:sz w:val="16"/>
                    </w:rPr>
                  </w:pPr>
                  <w:r>
                    <w:rPr>
                      <w:color w:val="A9A9A9"/>
                      <w:sz w:val="16"/>
                    </w:rPr>
                    <w:t>Este documento foi assinado via DocFlow por José Augusto Pereira de Carvalho e Valmor Barbosa Bezerra</w:t>
                  </w:r>
                </w:p>
              </w:txbxContent>
            </v:textbox>
            <w10:wrap type="none"/>
          </v:shape>
        </w:pict>
      </w:r>
    </w:p>
    <w:p>
      <w:pPr>
        <w:pStyle w:val="BodyText"/>
        <w:spacing w:before="93"/>
        <w:ind w:left="635" w:right="185"/>
        <w:jc w:val="both"/>
      </w:pPr>
      <w:r>
        <w:rPr/>
        <w:t>data de sua assinatura, podendo ser prorrogado nos seguintes casos e condições previstos no art. 55 da Lei (Federal) nº 13.019/2014 e art. 21 do Decreto (Federal) nº 8.726/2016:</w:t>
      </w:r>
    </w:p>
    <w:p>
      <w:pPr>
        <w:pStyle w:val="ListParagraph"/>
        <w:numPr>
          <w:ilvl w:val="2"/>
          <w:numId w:val="7"/>
        </w:numPr>
        <w:tabs>
          <w:tab w:pos="2794" w:val="left" w:leader="none"/>
        </w:tabs>
        <w:spacing w:line="240" w:lineRule="auto" w:before="0" w:after="0"/>
        <w:ind w:left="635" w:right="178" w:firstLine="1426"/>
        <w:jc w:val="both"/>
        <w:rPr>
          <w:sz w:val="24"/>
        </w:rPr>
      </w:pPr>
      <w:r>
        <w:rPr>
          <w:sz w:val="24"/>
        </w:rPr>
        <w:t>Mediante termo aditivo, por solicitação do </w:t>
      </w:r>
      <w:r>
        <w:rPr>
          <w:b/>
          <w:sz w:val="24"/>
        </w:rPr>
        <w:t>PROPONENTE </w:t>
      </w:r>
      <w:r>
        <w:rPr>
          <w:sz w:val="24"/>
        </w:rPr>
        <w:t>devidamente fundamentada, formulada, no mínimo, 30 (trinta) dias antes do seu término, desde que autorizada pela</w:t>
      </w:r>
      <w:r>
        <w:rPr>
          <w:spacing w:val="-2"/>
          <w:sz w:val="24"/>
        </w:rPr>
        <w:t> </w:t>
      </w:r>
      <w:r>
        <w:rPr>
          <w:b/>
          <w:sz w:val="24"/>
        </w:rPr>
        <w:t>SEDETEC</w:t>
      </w:r>
      <w:r>
        <w:rPr>
          <w:sz w:val="24"/>
        </w:rPr>
        <w:t>.</w:t>
      </w:r>
    </w:p>
    <w:p>
      <w:pPr>
        <w:pStyle w:val="ListParagraph"/>
        <w:numPr>
          <w:ilvl w:val="2"/>
          <w:numId w:val="7"/>
        </w:numPr>
        <w:tabs>
          <w:tab w:pos="2762" w:val="left" w:leader="none"/>
        </w:tabs>
        <w:spacing w:line="240" w:lineRule="auto" w:before="0" w:after="0"/>
        <w:ind w:left="635" w:right="178" w:firstLine="1426"/>
        <w:jc w:val="both"/>
        <w:rPr>
          <w:sz w:val="24"/>
        </w:rPr>
      </w:pPr>
      <w:r>
        <w:rPr>
          <w:sz w:val="24"/>
        </w:rPr>
        <w:t>De ofício, por iniciativa da </w:t>
      </w:r>
      <w:r>
        <w:rPr>
          <w:b/>
          <w:sz w:val="24"/>
        </w:rPr>
        <w:t>SEDETEC</w:t>
      </w:r>
      <w:r>
        <w:rPr>
          <w:sz w:val="24"/>
        </w:rPr>
        <w:t>, quando esta der causa a atraso na liberação de recursos financeiros, limitada ao exato período do atraso</w:t>
      </w:r>
      <w:r>
        <w:rPr>
          <w:spacing w:val="-13"/>
          <w:sz w:val="24"/>
        </w:rPr>
        <w:t> </w:t>
      </w:r>
      <w:r>
        <w:rPr>
          <w:sz w:val="24"/>
        </w:rPr>
        <w:t>verificado.</w:t>
      </w:r>
    </w:p>
    <w:p>
      <w:pPr>
        <w:pStyle w:val="BodyText"/>
      </w:pPr>
    </w:p>
    <w:p>
      <w:pPr>
        <w:pStyle w:val="BodyText"/>
        <w:ind w:left="635" w:right="175" w:firstLine="856"/>
        <w:jc w:val="both"/>
      </w:pPr>
      <w:r>
        <w:rPr>
          <w:b/>
          <w:spacing w:val="-3"/>
        </w:rPr>
        <w:t>PARÁGRAFO </w:t>
      </w:r>
      <w:r>
        <w:rPr>
          <w:b/>
        </w:rPr>
        <w:t>ÚNICO. </w:t>
      </w:r>
      <w:r>
        <w:rPr/>
        <w:t>A prorrogação da vigência prevista nesta cláusula nona, apenas será admitida, mantidas as demais cláusulas do </w:t>
      </w:r>
      <w:r>
        <w:rPr>
          <w:spacing w:val="-6"/>
        </w:rPr>
        <w:t>Termo </w:t>
      </w:r>
      <w:r>
        <w:rPr/>
        <w:t>de Fomento, desde que seja devidamente formalizada, justificada e previamente autorizada pela </w:t>
      </w:r>
      <w:r>
        <w:rPr>
          <w:b/>
        </w:rPr>
        <w:t>SEDETEC</w:t>
      </w:r>
      <w:r>
        <w:rPr/>
        <w:t>, considerando as seguintes</w:t>
      </w:r>
      <w:r>
        <w:rPr>
          <w:spacing w:val="-3"/>
        </w:rPr>
        <w:t> </w:t>
      </w:r>
      <w:r>
        <w:rPr/>
        <w:t>situações:</w:t>
      </w:r>
    </w:p>
    <w:p>
      <w:pPr>
        <w:pStyle w:val="BodyText"/>
        <w:ind w:left="2046" w:right="177"/>
        <w:jc w:val="both"/>
      </w:pPr>
      <w:r>
        <w:rPr>
          <w:b/>
        </w:rPr>
        <w:t>I - </w:t>
      </w:r>
      <w:r>
        <w:rPr/>
        <w:t>Alteração do Plano de Trabalho sugerido pela SEDETEC para aperfeiçoamento dos processos e dos resultados</w:t>
      </w:r>
      <w:r>
        <w:rPr>
          <w:spacing w:val="-3"/>
        </w:rPr>
        <w:t> </w:t>
      </w:r>
      <w:r>
        <w:rPr/>
        <w:t>previstos;</w:t>
      </w:r>
    </w:p>
    <w:p>
      <w:pPr>
        <w:pStyle w:val="BodyText"/>
        <w:ind w:left="2046" w:right="178"/>
        <w:jc w:val="both"/>
      </w:pPr>
      <w:r>
        <w:rPr>
          <w:b/>
        </w:rPr>
        <w:t>lI - </w:t>
      </w:r>
      <w:r>
        <w:rPr/>
        <w:t>Superveniência de fato excepcional ou imprevisível e estranho à vontade das partes, que altere fundamentalmente as condições de execução do Plano de Trabalho;</w:t>
      </w:r>
    </w:p>
    <w:p>
      <w:pPr>
        <w:pStyle w:val="BodyText"/>
        <w:ind w:left="2046" w:right="181"/>
        <w:jc w:val="both"/>
      </w:pPr>
      <w:r>
        <w:rPr>
          <w:b/>
        </w:rPr>
        <w:t>IlI - </w:t>
      </w:r>
      <w:r>
        <w:rPr/>
        <w:t>Ampliação de metas e etapas com aumento das quantidades inicialmente previstas no Plano de Trabalho.</w:t>
      </w:r>
    </w:p>
    <w:p>
      <w:pPr>
        <w:pStyle w:val="BodyText"/>
        <w:rPr>
          <w:sz w:val="26"/>
        </w:rPr>
      </w:pPr>
    </w:p>
    <w:p>
      <w:pPr>
        <w:pStyle w:val="BodyText"/>
        <w:rPr>
          <w:sz w:val="22"/>
        </w:rPr>
      </w:pPr>
    </w:p>
    <w:p>
      <w:pPr>
        <w:pStyle w:val="Heading2"/>
        <w:jc w:val="both"/>
        <w:rPr>
          <w:u w:val="none"/>
        </w:rPr>
      </w:pPr>
      <w:r>
        <w:rPr>
          <w:u w:val="single"/>
        </w:rPr>
        <w:t>CLÁUSULA DÉCIMA - DA ALTERAÇÃO</w:t>
      </w:r>
    </w:p>
    <w:p>
      <w:pPr>
        <w:pStyle w:val="BodyText"/>
        <w:rPr>
          <w:b/>
          <w:sz w:val="16"/>
        </w:rPr>
      </w:pPr>
    </w:p>
    <w:p>
      <w:pPr>
        <w:pStyle w:val="BodyText"/>
        <w:spacing w:before="92"/>
        <w:ind w:left="635" w:right="179" w:firstLine="856"/>
        <w:jc w:val="both"/>
      </w:pPr>
      <w:r>
        <w:rPr>
          <w:b/>
        </w:rPr>
        <w:t>10.1) </w:t>
      </w:r>
      <w:r>
        <w:rPr/>
        <w:t>Este Termo de Fomento poderá ser modificado, em qualquer de suas cláusulas e condições, exceto quanto ao seu objeto, com as devidas justificativas, mediante termo aditivo ou por certidão de apostilamento, devendo o respectivo pedido ser apresentado em até 60 (sessenta) dias antes do seu término, observado o disposto no art. 57 da Lei (Federal) nº 13.019/2014 e art. 43 do Decreto (Federal) nº 8.726/2016.</w:t>
      </w:r>
    </w:p>
    <w:p>
      <w:pPr>
        <w:pStyle w:val="BodyText"/>
      </w:pPr>
    </w:p>
    <w:p>
      <w:pPr>
        <w:pStyle w:val="BodyText"/>
        <w:ind w:left="635" w:right="178" w:firstLine="856"/>
        <w:jc w:val="both"/>
      </w:pPr>
      <w:r>
        <w:rPr>
          <w:b/>
        </w:rPr>
        <w:t>PARÁGRAFO ÚNICO</w:t>
      </w:r>
      <w:r>
        <w:rPr/>
        <w:t>. Os ajustes realizados durante a execução do objeto integrarão o Plano de Trabalho, desde que submetidos pelo </w:t>
      </w:r>
      <w:r>
        <w:rPr>
          <w:b/>
        </w:rPr>
        <w:t>PROPONENTE </w:t>
      </w:r>
      <w:r>
        <w:rPr/>
        <w:t>à </w:t>
      </w:r>
      <w:r>
        <w:rPr>
          <w:b/>
        </w:rPr>
        <w:t>SEDETEC </w:t>
      </w:r>
      <w:r>
        <w:rPr/>
        <w:t>e aprovados previamente pela autoridade competente.</w:t>
      </w:r>
    </w:p>
    <w:p>
      <w:pPr>
        <w:pStyle w:val="BodyText"/>
        <w:rPr>
          <w:sz w:val="26"/>
        </w:rPr>
      </w:pPr>
    </w:p>
    <w:p>
      <w:pPr>
        <w:pStyle w:val="BodyText"/>
        <w:rPr>
          <w:sz w:val="22"/>
        </w:rPr>
      </w:pPr>
    </w:p>
    <w:p>
      <w:pPr>
        <w:pStyle w:val="Heading2"/>
        <w:rPr>
          <w:u w:val="none"/>
        </w:rPr>
      </w:pPr>
      <w:r>
        <w:rPr>
          <w:u w:val="single"/>
        </w:rPr>
        <w:t>CLÁUSULA DÉCIMA PRIMEIRA - DA PRESTAÇÃO DE CONTAS</w:t>
      </w:r>
    </w:p>
    <w:p>
      <w:pPr>
        <w:pStyle w:val="BodyText"/>
        <w:rPr>
          <w:b/>
          <w:sz w:val="16"/>
        </w:rPr>
      </w:pPr>
    </w:p>
    <w:p>
      <w:pPr>
        <w:pStyle w:val="ListParagraph"/>
        <w:numPr>
          <w:ilvl w:val="1"/>
          <w:numId w:val="8"/>
        </w:numPr>
        <w:tabs>
          <w:tab w:pos="2157" w:val="left" w:leader="none"/>
        </w:tabs>
        <w:spacing w:line="240" w:lineRule="auto" w:before="93" w:after="0"/>
        <w:ind w:left="635" w:right="176" w:firstLine="856"/>
        <w:jc w:val="both"/>
        <w:rPr>
          <w:sz w:val="24"/>
        </w:rPr>
      </w:pPr>
      <w:r>
        <w:rPr>
          <w:sz w:val="24"/>
        </w:rPr>
        <w:t>O </w:t>
      </w:r>
      <w:r>
        <w:rPr>
          <w:b/>
          <w:sz w:val="24"/>
        </w:rPr>
        <w:t>PROPONENTE </w:t>
      </w:r>
      <w:r>
        <w:rPr>
          <w:sz w:val="24"/>
        </w:rPr>
        <w:t>prestará contas da boa e regular aplicação dos recursos recebidos no término da vigência da parceria, ou no final de cada exercício (se a duração da parceria exceder um ano), observando-se as regras previstas na legislação aplicável, nas cláusulas constantes deste </w:t>
      </w:r>
      <w:r>
        <w:rPr>
          <w:spacing w:val="-6"/>
          <w:sz w:val="24"/>
        </w:rPr>
        <w:t>Termo </w:t>
      </w:r>
      <w:r>
        <w:rPr>
          <w:sz w:val="24"/>
        </w:rPr>
        <w:t>de Fomento e do Plano de</w:t>
      </w:r>
      <w:r>
        <w:rPr>
          <w:spacing w:val="-15"/>
          <w:sz w:val="24"/>
        </w:rPr>
        <w:t> </w:t>
      </w:r>
      <w:r>
        <w:rPr>
          <w:sz w:val="24"/>
        </w:rPr>
        <w:t>Trabalho.</w:t>
      </w:r>
    </w:p>
    <w:p>
      <w:pPr>
        <w:pStyle w:val="BodyText"/>
        <w:spacing w:before="11"/>
        <w:rPr>
          <w:sz w:val="23"/>
        </w:rPr>
      </w:pPr>
    </w:p>
    <w:p>
      <w:pPr>
        <w:pStyle w:val="ListParagraph"/>
        <w:numPr>
          <w:ilvl w:val="1"/>
          <w:numId w:val="8"/>
        </w:numPr>
        <w:tabs>
          <w:tab w:pos="2216" w:val="left" w:leader="none"/>
        </w:tabs>
        <w:spacing w:line="240" w:lineRule="auto" w:before="0" w:after="0"/>
        <w:ind w:left="635" w:right="178" w:firstLine="856"/>
        <w:jc w:val="both"/>
        <w:rPr>
          <w:sz w:val="24"/>
        </w:rPr>
      </w:pPr>
      <w:r>
        <w:rPr>
          <w:sz w:val="24"/>
        </w:rPr>
        <w:t>A prestação de contas apresentada pelo </w:t>
      </w:r>
      <w:r>
        <w:rPr>
          <w:b/>
          <w:sz w:val="24"/>
        </w:rPr>
        <w:t>PROPONENTE </w:t>
      </w:r>
      <w:r>
        <w:rPr>
          <w:sz w:val="24"/>
        </w:rPr>
        <w:t>deverá conter elementos que permitam a </w:t>
      </w:r>
      <w:r>
        <w:rPr>
          <w:b/>
          <w:sz w:val="24"/>
        </w:rPr>
        <w:t>SEDETEC </w:t>
      </w:r>
      <w:r>
        <w:rPr>
          <w:sz w:val="24"/>
        </w:rPr>
        <w:t>avaliar o andamento ou concluir que o seu objeto foi executado</w:t>
      </w:r>
      <w:r>
        <w:rPr>
          <w:spacing w:val="14"/>
          <w:sz w:val="24"/>
        </w:rPr>
        <w:t> </w:t>
      </w:r>
      <w:r>
        <w:rPr>
          <w:sz w:val="24"/>
        </w:rPr>
        <w:t>conforme</w:t>
      </w:r>
      <w:r>
        <w:rPr>
          <w:spacing w:val="15"/>
          <w:sz w:val="24"/>
        </w:rPr>
        <w:t> </w:t>
      </w:r>
      <w:r>
        <w:rPr>
          <w:sz w:val="24"/>
        </w:rPr>
        <w:t>pactuado,</w:t>
      </w:r>
      <w:r>
        <w:rPr>
          <w:spacing w:val="16"/>
          <w:sz w:val="24"/>
        </w:rPr>
        <w:t> </w:t>
      </w:r>
      <w:r>
        <w:rPr>
          <w:sz w:val="24"/>
        </w:rPr>
        <w:t>com</w:t>
      </w:r>
      <w:r>
        <w:rPr>
          <w:spacing w:val="16"/>
          <w:sz w:val="24"/>
        </w:rPr>
        <w:t> </w:t>
      </w:r>
      <w:r>
        <w:rPr>
          <w:sz w:val="24"/>
        </w:rPr>
        <w:t>a</w:t>
      </w:r>
      <w:r>
        <w:rPr>
          <w:spacing w:val="15"/>
          <w:sz w:val="24"/>
        </w:rPr>
        <w:t> </w:t>
      </w:r>
      <w:r>
        <w:rPr>
          <w:sz w:val="24"/>
        </w:rPr>
        <w:t>descrição</w:t>
      </w:r>
      <w:r>
        <w:rPr>
          <w:spacing w:val="17"/>
          <w:sz w:val="24"/>
        </w:rPr>
        <w:t> </w:t>
      </w:r>
      <w:r>
        <w:rPr>
          <w:sz w:val="24"/>
        </w:rPr>
        <w:t>pormenorizada</w:t>
      </w:r>
      <w:r>
        <w:rPr>
          <w:spacing w:val="16"/>
          <w:sz w:val="24"/>
        </w:rPr>
        <w:t> </w:t>
      </w:r>
      <w:r>
        <w:rPr>
          <w:sz w:val="24"/>
        </w:rPr>
        <w:t>das</w:t>
      </w:r>
      <w:r>
        <w:rPr>
          <w:spacing w:val="16"/>
          <w:sz w:val="24"/>
        </w:rPr>
        <w:t> </w:t>
      </w:r>
      <w:r>
        <w:rPr>
          <w:sz w:val="24"/>
        </w:rPr>
        <w:t>atividades</w:t>
      </w:r>
      <w:r>
        <w:rPr>
          <w:spacing w:val="15"/>
          <w:sz w:val="24"/>
        </w:rPr>
        <w:t> </w:t>
      </w:r>
      <w:r>
        <w:rPr>
          <w:sz w:val="24"/>
        </w:rPr>
        <w:t>realizadas</w:t>
      </w:r>
      <w:r>
        <w:rPr>
          <w:spacing w:val="16"/>
          <w:sz w:val="24"/>
        </w:rPr>
        <w:t> </w:t>
      </w:r>
      <w:r>
        <w:rPr>
          <w:sz w:val="24"/>
        </w:rPr>
        <w:t>e</w:t>
      </w:r>
      <w:r>
        <w:rPr>
          <w:spacing w:val="16"/>
          <w:sz w:val="24"/>
        </w:rPr>
        <w:t> </w:t>
      </w:r>
      <w:r>
        <w:rPr>
          <w:sz w:val="24"/>
        </w:rPr>
        <w:t>a</w:t>
      </w:r>
    </w:p>
    <w:p>
      <w:pPr>
        <w:pStyle w:val="BodyText"/>
        <w:spacing w:before="10"/>
        <w:rPr>
          <w:sz w:val="28"/>
        </w:rPr>
      </w:pPr>
      <w:r>
        <w:rPr/>
        <w:pict>
          <v:shape style="position:absolute;margin-left:56.700001pt;margin-top:18.631201pt;width:510.3pt;height:.1pt;mso-position-horizontal-relative:page;mso-position-vertical-relative:paragraph;z-index:-251643904;mso-wrap-distance-left:0;mso-wrap-distance-right:0" coordorigin="1134,373" coordsize="10206,0" path="m1134,373l11340,373e" filled="false" stroked="true" strokeweight=".1pt" strokecolor="#000000">
            <v:path arrowok="t"/>
            <v:stroke dashstyle="solid"/>
            <w10:wrap type="topAndBottom"/>
          </v:shape>
        </w:pict>
      </w:r>
    </w:p>
    <w:p>
      <w:pPr>
        <w:spacing w:after="0"/>
        <w:rPr>
          <w:sz w:val="28"/>
        </w:rPr>
        <w:sectPr>
          <w:headerReference w:type="default" r:id="rId19"/>
          <w:footerReference w:type="default" r:id="rId20"/>
          <w:pgSz w:w="11900" w:h="16840"/>
          <w:pgMar w:header="622" w:footer="520" w:top="3040" w:bottom="720" w:left="500" w:right="440"/>
          <w:pgNumType w:start="8"/>
        </w:sectPr>
      </w:pPr>
    </w:p>
    <w:p>
      <w:pPr>
        <w:pStyle w:val="BodyText"/>
        <w:spacing w:before="6"/>
        <w:rPr>
          <w:sz w:val="16"/>
        </w:rPr>
      </w:pPr>
      <w:r>
        <w:rPr/>
        <w:pict>
          <v:shape style="position:absolute;margin-left:576.757813pt;margin-top:415.914032pt;width:10.95pt;height:387.1pt;mso-position-horizontal-relative:page;mso-position-vertical-relative:page;z-index:251675648" type="#_x0000_t202" filled="false" stroked="false">
            <v:textbox inset="0,0,0,0" style="layout-flow:vertical;mso-layout-flow-alt:bottom-to-top">
              <w:txbxContent>
                <w:p>
                  <w:pPr>
                    <w:spacing w:before="14"/>
                    <w:ind w:left="20" w:right="0" w:firstLine="0"/>
                    <w:jc w:val="left"/>
                    <w:rPr>
                      <w:sz w:val="16"/>
                    </w:rPr>
                  </w:pPr>
                  <w:r>
                    <w:rPr>
                      <w:color w:val="A9A9A9"/>
                      <w:sz w:val="16"/>
                    </w:rPr>
                    <w:t>Este documento foi assinado via DocFlow por José Augusto Pereira de Carvalho e Valmor Barbosa Bezerra</w:t>
                  </w:r>
                </w:p>
              </w:txbxContent>
            </v:textbox>
            <w10:wrap type="none"/>
          </v:shape>
        </w:pict>
      </w:r>
    </w:p>
    <w:p>
      <w:pPr>
        <w:pStyle w:val="BodyText"/>
        <w:spacing w:before="93"/>
        <w:ind w:left="635" w:right="181"/>
        <w:jc w:val="both"/>
      </w:pPr>
      <w:r>
        <w:rPr/>
        <w:t>comprovação do alcance das metas, sendo considerada a verdade real e os resultados alcançados. Os dados financeiros serão analisados com o intuito de estabelecer o nexo de causalidade entre a receita e a despesa realizada, a sua conformidade e o cumprimento das normas pertinentes.</w:t>
      </w:r>
    </w:p>
    <w:p>
      <w:pPr>
        <w:pStyle w:val="BodyText"/>
      </w:pPr>
    </w:p>
    <w:p>
      <w:pPr>
        <w:pStyle w:val="ListParagraph"/>
        <w:numPr>
          <w:ilvl w:val="1"/>
          <w:numId w:val="8"/>
        </w:numPr>
        <w:tabs>
          <w:tab w:pos="2194" w:val="left" w:leader="none"/>
        </w:tabs>
        <w:spacing w:line="240" w:lineRule="auto" w:before="0" w:after="0"/>
        <w:ind w:left="635" w:right="178" w:firstLine="856"/>
        <w:jc w:val="both"/>
        <w:rPr>
          <w:sz w:val="24"/>
        </w:rPr>
      </w:pPr>
      <w:r>
        <w:rPr>
          <w:sz w:val="24"/>
        </w:rPr>
        <w:t>Para fins de prestação de contas anual, quando for o caso, e final, o </w:t>
      </w:r>
      <w:r>
        <w:rPr>
          <w:b/>
          <w:sz w:val="24"/>
        </w:rPr>
        <w:t>PROPONENTE </w:t>
      </w:r>
      <w:r>
        <w:rPr>
          <w:sz w:val="24"/>
        </w:rPr>
        <w:t>deverá apresentar relatório parcial ou final de execução do objeto à </w:t>
      </w:r>
      <w:r>
        <w:rPr>
          <w:b/>
          <w:sz w:val="24"/>
        </w:rPr>
        <w:t>SEDETEC</w:t>
      </w:r>
      <w:r>
        <w:rPr>
          <w:sz w:val="24"/>
        </w:rPr>
        <w:t>, que conterá, no mínimo, as seguintes informações e</w:t>
      </w:r>
      <w:r>
        <w:rPr>
          <w:spacing w:val="-12"/>
          <w:sz w:val="24"/>
        </w:rPr>
        <w:t> </w:t>
      </w:r>
      <w:r>
        <w:rPr>
          <w:sz w:val="24"/>
        </w:rPr>
        <w:t>documentos:</w:t>
      </w:r>
    </w:p>
    <w:p>
      <w:pPr>
        <w:pStyle w:val="BodyText"/>
      </w:pPr>
    </w:p>
    <w:p>
      <w:pPr>
        <w:pStyle w:val="ListParagraph"/>
        <w:numPr>
          <w:ilvl w:val="2"/>
          <w:numId w:val="8"/>
        </w:numPr>
        <w:tabs>
          <w:tab w:pos="2211" w:val="left" w:leader="none"/>
        </w:tabs>
        <w:spacing w:line="240" w:lineRule="auto" w:before="0" w:after="0"/>
        <w:ind w:left="2046" w:right="178" w:firstLine="0"/>
        <w:jc w:val="left"/>
        <w:rPr>
          <w:sz w:val="24"/>
        </w:rPr>
      </w:pPr>
      <w:r>
        <w:rPr>
          <w:b/>
          <w:sz w:val="24"/>
        </w:rPr>
        <w:t>- </w:t>
      </w:r>
      <w:r>
        <w:rPr>
          <w:sz w:val="24"/>
        </w:rPr>
        <w:t>A demonstração do alcance das metas referentes ao período de que trata a prestação de</w:t>
      </w:r>
      <w:r>
        <w:rPr>
          <w:spacing w:val="1"/>
          <w:sz w:val="24"/>
        </w:rPr>
        <w:t> </w:t>
      </w:r>
      <w:r>
        <w:rPr>
          <w:sz w:val="24"/>
        </w:rPr>
        <w:t>contas;</w:t>
      </w:r>
    </w:p>
    <w:p>
      <w:pPr>
        <w:pStyle w:val="ListParagraph"/>
        <w:numPr>
          <w:ilvl w:val="2"/>
          <w:numId w:val="8"/>
        </w:numPr>
        <w:tabs>
          <w:tab w:pos="2246" w:val="left" w:leader="none"/>
        </w:tabs>
        <w:spacing w:line="240" w:lineRule="auto" w:before="0" w:after="0"/>
        <w:ind w:left="2245" w:right="0" w:hanging="200"/>
        <w:jc w:val="left"/>
        <w:rPr>
          <w:sz w:val="24"/>
        </w:rPr>
      </w:pPr>
      <w:r>
        <w:rPr>
          <w:b/>
          <w:sz w:val="24"/>
        </w:rPr>
        <w:t>- </w:t>
      </w:r>
      <w:r>
        <w:rPr>
          <w:sz w:val="24"/>
        </w:rPr>
        <w:t>A descrição das ações desenvolvidas para o cumprimento do</w:t>
      </w:r>
      <w:r>
        <w:rPr>
          <w:spacing w:val="-32"/>
          <w:sz w:val="24"/>
        </w:rPr>
        <w:t> </w:t>
      </w:r>
      <w:r>
        <w:rPr>
          <w:sz w:val="24"/>
        </w:rPr>
        <w:t>objeto;</w:t>
      </w:r>
    </w:p>
    <w:p>
      <w:pPr>
        <w:pStyle w:val="ListParagraph"/>
        <w:numPr>
          <w:ilvl w:val="2"/>
          <w:numId w:val="8"/>
        </w:numPr>
        <w:tabs>
          <w:tab w:pos="2338" w:val="left" w:leader="none"/>
        </w:tabs>
        <w:spacing w:line="240" w:lineRule="auto" w:before="0" w:after="0"/>
        <w:ind w:left="2046" w:right="180" w:firstLine="0"/>
        <w:jc w:val="left"/>
        <w:rPr>
          <w:sz w:val="24"/>
        </w:rPr>
      </w:pPr>
      <w:r>
        <w:rPr>
          <w:b/>
          <w:sz w:val="24"/>
        </w:rPr>
        <w:t>- </w:t>
      </w:r>
      <w:r>
        <w:rPr>
          <w:sz w:val="24"/>
        </w:rPr>
        <w:t>Os documentos de comprovação do cumprimento do objeto, como listas de presença, fotos, vídeos, entre outros;</w:t>
      </w:r>
    </w:p>
    <w:p>
      <w:pPr>
        <w:pStyle w:val="BodyText"/>
        <w:ind w:left="2046"/>
      </w:pPr>
      <w:r>
        <w:rPr>
          <w:b/>
        </w:rPr>
        <w:t>IV- </w:t>
      </w:r>
      <w:r>
        <w:rPr/>
        <w:t>Os documentos de comprovação do cumprimento da contrapartida, quando houver;</w:t>
      </w:r>
    </w:p>
    <w:p>
      <w:pPr>
        <w:pStyle w:val="ListParagraph"/>
        <w:numPr>
          <w:ilvl w:val="0"/>
          <w:numId w:val="9"/>
        </w:numPr>
        <w:tabs>
          <w:tab w:pos="2411" w:val="left" w:leader="none"/>
          <w:tab w:pos="2412" w:val="left" w:leader="none"/>
          <w:tab w:pos="2695" w:val="left" w:leader="none"/>
          <w:tab w:pos="4221" w:val="left" w:leader="none"/>
          <w:tab w:pos="5025" w:val="left" w:leader="none"/>
          <w:tab w:pos="5485" w:val="left" w:leader="none"/>
          <w:tab w:pos="6649" w:val="left" w:leader="none"/>
          <w:tab w:pos="8135" w:val="left" w:leader="none"/>
          <w:tab w:pos="8607" w:val="left" w:leader="none"/>
          <w:tab w:pos="9545" w:val="left" w:leader="none"/>
          <w:tab w:pos="10137" w:val="left" w:leader="none"/>
        </w:tabs>
        <w:spacing w:line="240" w:lineRule="auto" w:before="0" w:after="0"/>
        <w:ind w:left="2046" w:right="180" w:firstLine="0"/>
        <w:jc w:val="left"/>
        <w:rPr>
          <w:sz w:val="24"/>
        </w:rPr>
      </w:pPr>
      <w:r>
        <w:rPr>
          <w:b/>
          <w:sz w:val="24"/>
        </w:rPr>
        <w:t>-</w:t>
        <w:tab/>
      </w:r>
      <w:r>
        <w:rPr>
          <w:sz w:val="24"/>
        </w:rPr>
        <w:t>Informações</w:t>
        <w:tab/>
        <w:t>sobre</w:t>
        <w:tab/>
        <w:t>os</w:t>
        <w:tab/>
        <w:t>impactos</w:t>
        <w:tab/>
        <w:t>econômicos</w:t>
        <w:tab/>
        <w:t>ou</w:t>
        <w:tab/>
        <w:t>sociais</w:t>
        <w:tab/>
        <w:t>das</w:t>
        <w:tab/>
      </w:r>
      <w:r>
        <w:rPr>
          <w:spacing w:val="-5"/>
          <w:sz w:val="24"/>
        </w:rPr>
        <w:t>ações </w:t>
      </w:r>
      <w:r>
        <w:rPr>
          <w:sz w:val="24"/>
        </w:rPr>
        <w:t>desenvolvidas;</w:t>
      </w:r>
    </w:p>
    <w:p>
      <w:pPr>
        <w:pStyle w:val="ListParagraph"/>
        <w:numPr>
          <w:ilvl w:val="0"/>
          <w:numId w:val="9"/>
        </w:numPr>
        <w:tabs>
          <w:tab w:pos="2395" w:val="left" w:leader="none"/>
        </w:tabs>
        <w:spacing w:line="240" w:lineRule="auto" w:before="0" w:after="0"/>
        <w:ind w:left="2046" w:right="176" w:firstLine="0"/>
        <w:jc w:val="left"/>
        <w:rPr>
          <w:sz w:val="24"/>
        </w:rPr>
      </w:pPr>
      <w:r>
        <w:rPr>
          <w:b/>
          <w:sz w:val="24"/>
        </w:rPr>
        <w:t>- </w:t>
      </w:r>
      <w:r>
        <w:rPr>
          <w:sz w:val="24"/>
        </w:rPr>
        <w:t>Informações sobre o grau de satisfação do público-alvo, que poderá ser indicado por meio de pesquisa de satisfação, declaração de entidade pública ou privada local e declaração do conselho de política pública setorial, entre outros; </w:t>
      </w:r>
      <w:r>
        <w:rPr>
          <w:b/>
          <w:sz w:val="24"/>
        </w:rPr>
        <w:t>VII - </w:t>
      </w:r>
      <w:r>
        <w:rPr>
          <w:sz w:val="24"/>
        </w:rPr>
        <w:t>Informações sobre a possibilidade de sustentabilidade das ações após a conclusão do</w:t>
      </w:r>
      <w:r>
        <w:rPr>
          <w:spacing w:val="-3"/>
          <w:sz w:val="24"/>
        </w:rPr>
        <w:t> </w:t>
      </w:r>
      <w:r>
        <w:rPr>
          <w:sz w:val="24"/>
        </w:rPr>
        <w:t>objeto;</w:t>
      </w:r>
    </w:p>
    <w:p>
      <w:pPr>
        <w:pStyle w:val="BodyText"/>
        <w:ind w:left="2046" w:right="182"/>
      </w:pPr>
      <w:r>
        <w:rPr>
          <w:b/>
        </w:rPr>
        <w:t>VIII - </w:t>
      </w:r>
      <w:r>
        <w:rPr/>
        <w:t>Justificativa na hipótese de não cumprimento do alcance das metas, quando for o caso;</w:t>
      </w:r>
    </w:p>
    <w:p>
      <w:pPr>
        <w:pStyle w:val="BodyText"/>
      </w:pPr>
    </w:p>
    <w:p>
      <w:pPr>
        <w:pStyle w:val="ListParagraph"/>
        <w:numPr>
          <w:ilvl w:val="1"/>
          <w:numId w:val="8"/>
        </w:numPr>
        <w:tabs>
          <w:tab w:pos="2242" w:val="left" w:leader="none"/>
        </w:tabs>
        <w:spacing w:line="240" w:lineRule="auto" w:before="0" w:after="0"/>
        <w:ind w:left="635" w:right="176" w:firstLine="856"/>
        <w:jc w:val="both"/>
        <w:rPr>
          <w:sz w:val="24"/>
        </w:rPr>
      </w:pPr>
      <w:r>
        <w:rPr>
          <w:sz w:val="24"/>
        </w:rPr>
        <w:t>A execução financeira deverá ser comprovada através dos seguintes documentos:</w:t>
      </w:r>
    </w:p>
    <w:p>
      <w:pPr>
        <w:pStyle w:val="BodyText"/>
      </w:pPr>
    </w:p>
    <w:p>
      <w:pPr>
        <w:pStyle w:val="BodyText"/>
        <w:ind w:left="2046" w:right="177"/>
        <w:jc w:val="both"/>
      </w:pPr>
      <w:r>
        <w:rPr>
          <w:b/>
        </w:rPr>
        <w:t>I - </w:t>
      </w:r>
      <w:r>
        <w:rPr/>
        <w:t>Os demonstrativos da receita e despesa, conciliação bancária, despesa executada, demonstrativo da aplicação financeira, demonstrativos dos bens adquiridos (quando houver).</w:t>
      </w:r>
    </w:p>
    <w:p>
      <w:pPr>
        <w:pStyle w:val="BodyText"/>
        <w:ind w:left="2046" w:right="181"/>
        <w:jc w:val="both"/>
      </w:pPr>
      <w:r>
        <w:rPr>
          <w:b/>
        </w:rPr>
        <w:t>lI - </w:t>
      </w:r>
      <w:r>
        <w:rPr/>
        <w:t>O relatório de execução financeira, que deverá contemplar os seguintes aspectos:</w:t>
      </w:r>
    </w:p>
    <w:p>
      <w:pPr>
        <w:pStyle w:val="ListParagraph"/>
        <w:numPr>
          <w:ilvl w:val="0"/>
          <w:numId w:val="10"/>
        </w:numPr>
        <w:tabs>
          <w:tab w:pos="3480" w:val="left" w:leader="none"/>
        </w:tabs>
        <w:spacing w:line="240" w:lineRule="auto" w:before="0" w:after="0"/>
        <w:ind w:left="2062" w:right="123" w:firstLine="708"/>
        <w:jc w:val="both"/>
        <w:rPr>
          <w:sz w:val="24"/>
        </w:rPr>
      </w:pPr>
      <w:r>
        <w:rPr>
          <w:sz w:val="24"/>
        </w:rPr>
        <w:t>a relação das receitas e despesas realizadas, inclusive rendimentos financeiros, que possibilitem a comprovação da observância do plano de</w:t>
      </w:r>
      <w:r>
        <w:rPr>
          <w:spacing w:val="-30"/>
          <w:sz w:val="24"/>
        </w:rPr>
        <w:t> </w:t>
      </w:r>
      <w:r>
        <w:rPr>
          <w:sz w:val="24"/>
        </w:rPr>
        <w:t>trabalho;</w:t>
      </w:r>
    </w:p>
    <w:p>
      <w:pPr>
        <w:pStyle w:val="ListParagraph"/>
        <w:numPr>
          <w:ilvl w:val="0"/>
          <w:numId w:val="10"/>
        </w:numPr>
        <w:tabs>
          <w:tab w:pos="3480" w:val="left" w:leader="none"/>
        </w:tabs>
        <w:spacing w:line="240" w:lineRule="auto" w:before="1" w:after="0"/>
        <w:ind w:left="2062" w:right="119" w:firstLine="708"/>
        <w:jc w:val="both"/>
        <w:rPr>
          <w:sz w:val="24"/>
        </w:rPr>
      </w:pPr>
      <w:r>
        <w:rPr>
          <w:sz w:val="24"/>
        </w:rPr>
        <w:t>o comprovante da devolução do saldo remanescente da conta bancária específica, quando</w:t>
      </w:r>
      <w:r>
        <w:rPr>
          <w:spacing w:val="-2"/>
          <w:sz w:val="24"/>
        </w:rPr>
        <w:t> </w:t>
      </w:r>
      <w:r>
        <w:rPr>
          <w:sz w:val="24"/>
        </w:rPr>
        <w:t>houver.</w:t>
      </w:r>
    </w:p>
    <w:p>
      <w:pPr>
        <w:pStyle w:val="BodyText"/>
        <w:ind w:left="2046"/>
        <w:jc w:val="both"/>
      </w:pPr>
      <w:r>
        <w:rPr>
          <w:b/>
        </w:rPr>
        <w:t>IlI - </w:t>
      </w:r>
      <w:r>
        <w:rPr/>
        <w:t>Extratos da conta bancária específica e da aplicação financeira mensal;</w:t>
      </w:r>
    </w:p>
    <w:p>
      <w:pPr>
        <w:pStyle w:val="ListParagraph"/>
        <w:numPr>
          <w:ilvl w:val="0"/>
          <w:numId w:val="11"/>
        </w:numPr>
        <w:tabs>
          <w:tab w:pos="2340" w:val="left" w:leader="none"/>
        </w:tabs>
        <w:spacing w:line="240" w:lineRule="auto" w:before="0" w:after="0"/>
        <w:ind w:left="2340" w:right="0" w:hanging="294"/>
        <w:jc w:val="both"/>
        <w:rPr>
          <w:sz w:val="24"/>
        </w:rPr>
      </w:pPr>
      <w:r>
        <w:rPr>
          <w:b/>
          <w:sz w:val="24"/>
        </w:rPr>
        <w:t>- </w:t>
      </w:r>
      <w:r>
        <w:rPr>
          <w:sz w:val="24"/>
        </w:rPr>
        <w:t>Memória de cálculo do rateio das despesas, quando for o</w:t>
      </w:r>
      <w:r>
        <w:rPr>
          <w:spacing w:val="-11"/>
          <w:sz w:val="24"/>
        </w:rPr>
        <w:t> </w:t>
      </w:r>
      <w:r>
        <w:rPr>
          <w:sz w:val="24"/>
        </w:rPr>
        <w:t>caso;</w:t>
      </w:r>
    </w:p>
    <w:p>
      <w:pPr>
        <w:pStyle w:val="ListParagraph"/>
        <w:numPr>
          <w:ilvl w:val="0"/>
          <w:numId w:val="11"/>
        </w:numPr>
        <w:tabs>
          <w:tab w:pos="2274" w:val="left" w:leader="none"/>
        </w:tabs>
        <w:spacing w:line="240" w:lineRule="auto" w:before="0" w:after="0"/>
        <w:ind w:left="2046" w:right="177" w:firstLine="0"/>
        <w:jc w:val="both"/>
        <w:rPr>
          <w:sz w:val="24"/>
        </w:rPr>
      </w:pPr>
      <w:r>
        <w:rPr>
          <w:b/>
          <w:sz w:val="24"/>
        </w:rPr>
        <w:t>- </w:t>
      </w:r>
      <w:r>
        <w:rPr>
          <w:sz w:val="24"/>
        </w:rPr>
        <w:t>Cópia das notas e dos comprovantes fiscais e recibos, inclusive holerites, com data do documento, </w:t>
      </w:r>
      <w:r>
        <w:rPr>
          <w:spacing w:val="-3"/>
          <w:sz w:val="24"/>
        </w:rPr>
        <w:t>valor, </w:t>
      </w:r>
      <w:r>
        <w:rPr>
          <w:sz w:val="24"/>
        </w:rPr>
        <w:t>dados do </w:t>
      </w:r>
      <w:r>
        <w:rPr>
          <w:b/>
          <w:sz w:val="24"/>
        </w:rPr>
        <w:t>PROPONENTE </w:t>
      </w:r>
      <w:r>
        <w:rPr>
          <w:sz w:val="24"/>
        </w:rPr>
        <w:t>e do fornecedor e indicação do produto ou serviço. Os documentos fiscais deverão estar atestados pelo responsável legal do </w:t>
      </w:r>
      <w:r>
        <w:rPr>
          <w:b/>
          <w:sz w:val="24"/>
        </w:rPr>
        <w:t>PROPONENTE </w:t>
      </w:r>
      <w:r>
        <w:rPr>
          <w:sz w:val="24"/>
        </w:rPr>
        <w:t>e constar o número</w:t>
      </w:r>
      <w:r>
        <w:rPr>
          <w:spacing w:val="24"/>
          <w:sz w:val="24"/>
        </w:rPr>
        <w:t> </w:t>
      </w:r>
      <w:r>
        <w:rPr>
          <w:sz w:val="24"/>
        </w:rPr>
        <w:t>do </w:t>
      </w:r>
      <w:r>
        <w:rPr>
          <w:spacing w:val="-6"/>
          <w:sz w:val="24"/>
        </w:rPr>
        <w:t>Termo </w:t>
      </w:r>
      <w:r>
        <w:rPr>
          <w:sz w:val="24"/>
        </w:rPr>
        <w:t>de Fomento,</w:t>
      </w:r>
    </w:p>
    <w:p>
      <w:pPr>
        <w:pStyle w:val="BodyText"/>
        <w:spacing w:before="10"/>
        <w:rPr>
          <w:sz w:val="28"/>
        </w:rPr>
      </w:pPr>
      <w:r>
        <w:rPr/>
        <w:pict>
          <v:shape style="position:absolute;margin-left:56.700001pt;margin-top:18.607031pt;width:510.3pt;height:.1pt;mso-position-horizontal-relative:page;mso-position-vertical-relative:paragraph;z-index:-251641856;mso-wrap-distance-left:0;mso-wrap-distance-right:0" coordorigin="1134,372" coordsize="10206,0" path="m1134,372l11340,372e" filled="false" stroked="true" strokeweight=".1pt" strokecolor="#000000">
            <v:path arrowok="t"/>
            <v:stroke dashstyle="solid"/>
            <w10:wrap type="topAndBottom"/>
          </v:shape>
        </w:pict>
      </w:r>
    </w:p>
    <w:p>
      <w:pPr>
        <w:spacing w:after="0"/>
        <w:rPr>
          <w:sz w:val="28"/>
        </w:rPr>
        <w:sectPr>
          <w:headerReference w:type="default" r:id="rId21"/>
          <w:footerReference w:type="default" r:id="rId22"/>
          <w:pgSz w:w="11900" w:h="16840"/>
          <w:pgMar w:header="622" w:footer="520" w:top="3040" w:bottom="720" w:left="500" w:right="440"/>
          <w:pgNumType w:start="9"/>
        </w:sectPr>
      </w:pPr>
    </w:p>
    <w:p>
      <w:pPr>
        <w:pStyle w:val="BodyText"/>
        <w:spacing w:before="6"/>
        <w:rPr>
          <w:sz w:val="16"/>
        </w:rPr>
      </w:pPr>
      <w:r>
        <w:rPr/>
        <w:pict>
          <v:shape style="position:absolute;margin-left:576.757813pt;margin-top:415.914032pt;width:10.95pt;height:387.1pt;mso-position-horizontal-relative:page;mso-position-vertical-relative:page;z-index:251677696" type="#_x0000_t202" filled="false" stroked="false">
            <v:textbox inset="0,0,0,0" style="layout-flow:vertical;mso-layout-flow-alt:bottom-to-top">
              <w:txbxContent>
                <w:p>
                  <w:pPr>
                    <w:spacing w:before="14"/>
                    <w:ind w:left="20" w:right="0" w:firstLine="0"/>
                    <w:jc w:val="left"/>
                    <w:rPr>
                      <w:sz w:val="16"/>
                    </w:rPr>
                  </w:pPr>
                  <w:r>
                    <w:rPr>
                      <w:color w:val="A9A9A9"/>
                      <w:sz w:val="16"/>
                    </w:rPr>
                    <w:t>Este documento foi assinado via DocFlow por José Augusto Pereira de Carvalho e Valmor Barbosa Bezerra</w:t>
                  </w:r>
                </w:p>
              </w:txbxContent>
            </v:textbox>
            <w10:wrap type="none"/>
          </v:shape>
        </w:pict>
      </w:r>
    </w:p>
    <w:p>
      <w:pPr>
        <w:pStyle w:val="BodyText"/>
        <w:spacing w:before="93"/>
        <w:ind w:left="2046"/>
        <w:jc w:val="both"/>
      </w:pPr>
      <w:r>
        <w:rPr/>
        <w:t>acompanhadas das certidões negativas de débitos;</w:t>
      </w:r>
    </w:p>
    <w:p>
      <w:pPr>
        <w:pStyle w:val="ListParagraph"/>
        <w:numPr>
          <w:ilvl w:val="0"/>
          <w:numId w:val="11"/>
        </w:numPr>
        <w:tabs>
          <w:tab w:pos="2414" w:val="left" w:leader="none"/>
        </w:tabs>
        <w:spacing w:line="240" w:lineRule="auto" w:before="0" w:after="0"/>
        <w:ind w:left="2413" w:right="0" w:hanging="368"/>
        <w:jc w:val="both"/>
        <w:rPr>
          <w:sz w:val="24"/>
        </w:rPr>
      </w:pPr>
      <w:r>
        <w:rPr>
          <w:b/>
          <w:sz w:val="24"/>
        </w:rPr>
        <w:t>- </w:t>
      </w:r>
      <w:r>
        <w:rPr>
          <w:sz w:val="24"/>
        </w:rPr>
        <w:t>Comprovante de transferência do pagamento, identificado os dados</w:t>
      </w:r>
      <w:r>
        <w:rPr>
          <w:spacing w:val="43"/>
          <w:sz w:val="24"/>
        </w:rPr>
        <w:t> </w:t>
      </w:r>
      <w:r>
        <w:rPr>
          <w:sz w:val="24"/>
        </w:rPr>
        <w:t>do</w:t>
      </w:r>
    </w:p>
    <w:p>
      <w:pPr>
        <w:spacing w:before="0"/>
        <w:ind w:left="2046" w:right="0" w:firstLine="0"/>
        <w:jc w:val="both"/>
        <w:rPr>
          <w:sz w:val="24"/>
        </w:rPr>
      </w:pPr>
      <w:r>
        <w:rPr>
          <w:b/>
          <w:sz w:val="24"/>
        </w:rPr>
        <w:t>PROPONENTE </w:t>
      </w:r>
      <w:r>
        <w:rPr>
          <w:sz w:val="24"/>
        </w:rPr>
        <w:t>e do recebedor do pagamento;</w:t>
      </w:r>
    </w:p>
    <w:p>
      <w:pPr>
        <w:pStyle w:val="ListParagraph"/>
        <w:numPr>
          <w:ilvl w:val="0"/>
          <w:numId w:val="11"/>
        </w:numPr>
        <w:tabs>
          <w:tab w:pos="2540" w:val="left" w:leader="none"/>
        </w:tabs>
        <w:spacing w:line="240" w:lineRule="auto" w:before="0" w:after="0"/>
        <w:ind w:left="2046" w:right="177" w:firstLine="0"/>
        <w:jc w:val="both"/>
        <w:rPr>
          <w:sz w:val="24"/>
        </w:rPr>
      </w:pPr>
      <w:r>
        <w:rPr>
          <w:b/>
          <w:sz w:val="24"/>
        </w:rPr>
        <w:t>- </w:t>
      </w:r>
      <w:r>
        <w:rPr>
          <w:sz w:val="24"/>
        </w:rPr>
        <w:t>Comprovante de capacidade técnica dos prestadores de serviços, acompanhado do devido contrato e documentos pessoais (RG, CPF e comprovante de</w:t>
      </w:r>
      <w:r>
        <w:rPr>
          <w:spacing w:val="-3"/>
          <w:sz w:val="24"/>
        </w:rPr>
        <w:t> </w:t>
      </w:r>
      <w:r>
        <w:rPr>
          <w:sz w:val="24"/>
        </w:rPr>
        <w:t>residência).</w:t>
      </w:r>
    </w:p>
    <w:p>
      <w:pPr>
        <w:pStyle w:val="BodyText"/>
      </w:pPr>
    </w:p>
    <w:p>
      <w:pPr>
        <w:pStyle w:val="ListParagraph"/>
        <w:numPr>
          <w:ilvl w:val="1"/>
          <w:numId w:val="8"/>
        </w:numPr>
        <w:tabs>
          <w:tab w:pos="2122" w:val="left" w:leader="none"/>
        </w:tabs>
        <w:spacing w:line="240" w:lineRule="auto" w:before="0" w:after="0"/>
        <w:ind w:left="635" w:right="182" w:firstLine="856"/>
        <w:jc w:val="both"/>
        <w:rPr>
          <w:sz w:val="24"/>
        </w:rPr>
      </w:pPr>
      <w:r>
        <w:rPr>
          <w:sz w:val="24"/>
        </w:rPr>
        <w:t>As cotações de preços deverão ser apresentadas junto ao plano de trabalho. Caso sejam efetivadas atualizações dos orçamentos, devidamente autorizados pela concedente, deverão ser apresentados na prestação de</w:t>
      </w:r>
      <w:r>
        <w:rPr>
          <w:spacing w:val="-3"/>
          <w:sz w:val="24"/>
        </w:rPr>
        <w:t> </w:t>
      </w:r>
      <w:r>
        <w:rPr>
          <w:sz w:val="24"/>
        </w:rPr>
        <w:t>contas.</w:t>
      </w:r>
    </w:p>
    <w:p>
      <w:pPr>
        <w:pStyle w:val="BodyText"/>
      </w:pPr>
    </w:p>
    <w:p>
      <w:pPr>
        <w:pStyle w:val="ListParagraph"/>
        <w:numPr>
          <w:ilvl w:val="1"/>
          <w:numId w:val="8"/>
        </w:numPr>
        <w:tabs>
          <w:tab w:pos="2164" w:val="left" w:leader="none"/>
        </w:tabs>
        <w:spacing w:line="240" w:lineRule="auto" w:before="0" w:after="0"/>
        <w:ind w:left="635" w:right="188" w:firstLine="856"/>
        <w:jc w:val="both"/>
        <w:rPr>
          <w:sz w:val="24"/>
        </w:rPr>
      </w:pPr>
      <w:r>
        <w:rPr>
          <w:sz w:val="24"/>
        </w:rPr>
        <w:t>No final da execução do </w:t>
      </w:r>
      <w:r>
        <w:rPr>
          <w:spacing w:val="-6"/>
          <w:sz w:val="24"/>
        </w:rPr>
        <w:t>Termo </w:t>
      </w:r>
      <w:r>
        <w:rPr>
          <w:sz w:val="24"/>
        </w:rPr>
        <w:t>de Fomento deverão ser apresentadas as Declarações de Cumprimento do objeto e a de Guarda e Conservação dos</w:t>
      </w:r>
      <w:r>
        <w:rPr>
          <w:spacing w:val="-17"/>
          <w:sz w:val="24"/>
        </w:rPr>
        <w:t> </w:t>
      </w:r>
      <w:r>
        <w:rPr>
          <w:sz w:val="24"/>
        </w:rPr>
        <w:t>Documentos.</w:t>
      </w:r>
    </w:p>
    <w:p>
      <w:pPr>
        <w:pStyle w:val="BodyText"/>
      </w:pPr>
    </w:p>
    <w:p>
      <w:pPr>
        <w:pStyle w:val="ListParagraph"/>
        <w:numPr>
          <w:ilvl w:val="1"/>
          <w:numId w:val="8"/>
        </w:numPr>
        <w:tabs>
          <w:tab w:pos="2080" w:val="left" w:leader="none"/>
        </w:tabs>
        <w:spacing w:line="240" w:lineRule="auto" w:before="0" w:after="0"/>
        <w:ind w:left="2080" w:right="0" w:hanging="588"/>
        <w:jc w:val="both"/>
        <w:rPr>
          <w:sz w:val="24"/>
        </w:rPr>
      </w:pPr>
      <w:r>
        <w:rPr>
          <w:sz w:val="24"/>
        </w:rPr>
        <w:t>A análise contemplará, dentre outros</w:t>
      </w:r>
      <w:r>
        <w:rPr>
          <w:spacing w:val="-16"/>
          <w:sz w:val="24"/>
        </w:rPr>
        <w:t> </w:t>
      </w:r>
      <w:r>
        <w:rPr>
          <w:sz w:val="24"/>
        </w:rPr>
        <w:t>aspectos:</w:t>
      </w:r>
    </w:p>
    <w:p>
      <w:pPr>
        <w:pStyle w:val="ListParagraph"/>
        <w:numPr>
          <w:ilvl w:val="0"/>
          <w:numId w:val="12"/>
        </w:numPr>
        <w:tabs>
          <w:tab w:pos="2256" w:val="left" w:leader="none"/>
        </w:tabs>
        <w:spacing w:line="240" w:lineRule="auto" w:before="0" w:after="0"/>
        <w:ind w:left="2046" w:right="177" w:firstLine="0"/>
        <w:jc w:val="both"/>
        <w:rPr>
          <w:sz w:val="24"/>
        </w:rPr>
      </w:pPr>
      <w:r>
        <w:rPr>
          <w:b/>
          <w:sz w:val="24"/>
        </w:rPr>
        <w:t>- </w:t>
      </w:r>
      <w:r>
        <w:rPr>
          <w:sz w:val="24"/>
        </w:rPr>
        <w:t>o exame da conformidade das despesas, realizado pela verificação das despesas previstas e das despesas efetivamente realizadas, por item ou agrupamento de itens, conforme aprovado no plano de trabalho, observado o disposto no § 3° do art. 36;</w:t>
      </w:r>
      <w:r>
        <w:rPr>
          <w:spacing w:val="-2"/>
          <w:sz w:val="24"/>
        </w:rPr>
        <w:t> </w:t>
      </w:r>
      <w:r>
        <w:rPr>
          <w:sz w:val="24"/>
        </w:rPr>
        <w:t>e</w:t>
      </w:r>
    </w:p>
    <w:p>
      <w:pPr>
        <w:pStyle w:val="ListParagraph"/>
        <w:numPr>
          <w:ilvl w:val="0"/>
          <w:numId w:val="12"/>
        </w:numPr>
        <w:tabs>
          <w:tab w:pos="2246" w:val="left" w:leader="none"/>
        </w:tabs>
        <w:spacing w:line="240" w:lineRule="auto" w:before="0" w:after="0"/>
        <w:ind w:left="2046" w:right="185" w:firstLine="0"/>
        <w:jc w:val="both"/>
        <w:rPr>
          <w:sz w:val="24"/>
        </w:rPr>
      </w:pPr>
      <w:r>
        <w:rPr>
          <w:b/>
          <w:sz w:val="24"/>
        </w:rPr>
        <w:t>- </w:t>
      </w:r>
      <w:r>
        <w:rPr>
          <w:sz w:val="24"/>
        </w:rPr>
        <w:t>a verificação da conciliação bancária, por meio da aferição da correlação entre as despesas constantes na relação de pagamentos e os débitos efetuados na conta específica da</w:t>
      </w:r>
      <w:r>
        <w:rPr>
          <w:spacing w:val="-2"/>
          <w:sz w:val="24"/>
        </w:rPr>
        <w:t> </w:t>
      </w:r>
      <w:r>
        <w:rPr>
          <w:sz w:val="24"/>
        </w:rPr>
        <w:t>parceria.</w:t>
      </w:r>
    </w:p>
    <w:p>
      <w:pPr>
        <w:pStyle w:val="BodyText"/>
      </w:pPr>
    </w:p>
    <w:p>
      <w:pPr>
        <w:pStyle w:val="ListParagraph"/>
        <w:numPr>
          <w:ilvl w:val="1"/>
          <w:numId w:val="8"/>
        </w:numPr>
        <w:tabs>
          <w:tab w:pos="2109" w:val="left" w:leader="none"/>
        </w:tabs>
        <w:spacing w:line="240" w:lineRule="auto" w:before="0" w:after="0"/>
        <w:ind w:left="635" w:right="180" w:firstLine="856"/>
        <w:jc w:val="both"/>
        <w:rPr>
          <w:sz w:val="24"/>
        </w:rPr>
      </w:pPr>
      <w:r>
        <w:rPr>
          <w:sz w:val="24"/>
        </w:rPr>
        <w:t>O </w:t>
      </w:r>
      <w:r>
        <w:rPr>
          <w:b/>
          <w:sz w:val="24"/>
        </w:rPr>
        <w:t>PROPONENTE </w:t>
      </w:r>
      <w:r>
        <w:rPr>
          <w:sz w:val="24"/>
        </w:rPr>
        <w:t>deverá manter a guarda dos documentos originais relativos à execução das parcerias pelo prazo de 10 (dez) anos, contado do dia útil subsequente ao da apresentação da prestação de contas ou do decurso do prazo para a apresentação da prestação de</w:t>
      </w:r>
      <w:r>
        <w:rPr>
          <w:spacing w:val="1"/>
          <w:sz w:val="24"/>
        </w:rPr>
        <w:t> </w:t>
      </w:r>
      <w:r>
        <w:rPr>
          <w:sz w:val="24"/>
        </w:rPr>
        <w:t>contas.</w:t>
      </w:r>
    </w:p>
    <w:p>
      <w:pPr>
        <w:pStyle w:val="BodyText"/>
      </w:pPr>
    </w:p>
    <w:p>
      <w:pPr>
        <w:pStyle w:val="ListParagraph"/>
        <w:numPr>
          <w:ilvl w:val="1"/>
          <w:numId w:val="8"/>
        </w:numPr>
        <w:tabs>
          <w:tab w:pos="2086" w:val="left" w:leader="none"/>
        </w:tabs>
        <w:spacing w:line="240" w:lineRule="auto" w:before="0" w:after="0"/>
        <w:ind w:left="635" w:right="177" w:firstLine="856"/>
        <w:jc w:val="both"/>
        <w:rPr>
          <w:sz w:val="24"/>
        </w:rPr>
      </w:pPr>
      <w:r>
        <w:rPr>
          <w:sz w:val="24"/>
        </w:rPr>
        <w:t>A análise da prestação de contas final pelo Responsável Técnico designado pela SEDETEC será formalizada por meio de parecer técnico conclusivo, que deverá verificar o cumprimento do objeto e o alcance das metas previstas no Plano de Trabalho e</w:t>
      </w:r>
      <w:r>
        <w:rPr>
          <w:spacing w:val="-40"/>
          <w:sz w:val="24"/>
        </w:rPr>
        <w:t> </w:t>
      </w:r>
      <w:r>
        <w:rPr>
          <w:sz w:val="24"/>
        </w:rPr>
        <w:t>considerará:</w:t>
      </w:r>
    </w:p>
    <w:p>
      <w:pPr>
        <w:pStyle w:val="BodyText"/>
      </w:pPr>
    </w:p>
    <w:p>
      <w:pPr>
        <w:pStyle w:val="ListParagraph"/>
        <w:numPr>
          <w:ilvl w:val="0"/>
          <w:numId w:val="13"/>
        </w:numPr>
        <w:tabs>
          <w:tab w:pos="2180" w:val="left" w:leader="none"/>
        </w:tabs>
        <w:spacing w:line="240" w:lineRule="auto" w:before="0" w:after="0"/>
        <w:ind w:left="2179" w:right="0" w:hanging="134"/>
        <w:jc w:val="left"/>
        <w:rPr>
          <w:sz w:val="24"/>
        </w:rPr>
      </w:pPr>
      <w:r>
        <w:rPr>
          <w:b/>
          <w:sz w:val="24"/>
        </w:rPr>
        <w:t>- </w:t>
      </w:r>
      <w:r>
        <w:rPr>
          <w:sz w:val="24"/>
        </w:rPr>
        <w:t>o relatório final de execução do</w:t>
      </w:r>
      <w:r>
        <w:rPr>
          <w:spacing w:val="-3"/>
          <w:sz w:val="24"/>
        </w:rPr>
        <w:t> </w:t>
      </w:r>
      <w:r>
        <w:rPr>
          <w:sz w:val="24"/>
        </w:rPr>
        <w:t>objeto;</w:t>
      </w:r>
    </w:p>
    <w:p>
      <w:pPr>
        <w:pStyle w:val="ListParagraph"/>
        <w:numPr>
          <w:ilvl w:val="0"/>
          <w:numId w:val="13"/>
        </w:numPr>
        <w:tabs>
          <w:tab w:pos="2294" w:val="left" w:leader="none"/>
        </w:tabs>
        <w:spacing w:line="240" w:lineRule="auto" w:before="0" w:after="0"/>
        <w:ind w:left="2046" w:right="187" w:firstLine="0"/>
        <w:jc w:val="left"/>
        <w:rPr>
          <w:sz w:val="24"/>
        </w:rPr>
      </w:pPr>
      <w:r>
        <w:rPr>
          <w:b/>
          <w:sz w:val="24"/>
        </w:rPr>
        <w:t>- </w:t>
      </w:r>
      <w:r>
        <w:rPr>
          <w:sz w:val="24"/>
        </w:rPr>
        <w:t>os relatórios parciais de execução do objeto, para parcerias com duração superior a um</w:t>
      </w:r>
      <w:r>
        <w:rPr>
          <w:spacing w:val="-4"/>
          <w:sz w:val="24"/>
        </w:rPr>
        <w:t> </w:t>
      </w:r>
      <w:r>
        <w:rPr>
          <w:sz w:val="24"/>
        </w:rPr>
        <w:t>ano;</w:t>
      </w:r>
    </w:p>
    <w:p>
      <w:pPr>
        <w:spacing w:before="1"/>
        <w:ind w:left="2046" w:right="0" w:firstLine="0"/>
        <w:jc w:val="left"/>
        <w:rPr>
          <w:sz w:val="24"/>
        </w:rPr>
      </w:pPr>
      <w:r>
        <w:rPr>
          <w:b/>
          <w:sz w:val="24"/>
        </w:rPr>
        <w:t>IlI - </w:t>
      </w:r>
      <w:r>
        <w:rPr>
          <w:sz w:val="24"/>
        </w:rPr>
        <w:t>relatório de visita técnica </w:t>
      </w:r>
      <w:r>
        <w:rPr>
          <w:i/>
          <w:sz w:val="24"/>
        </w:rPr>
        <w:t>in loco</w:t>
      </w:r>
      <w:r>
        <w:rPr>
          <w:sz w:val="24"/>
        </w:rPr>
        <w:t>, quando houver; e</w:t>
      </w:r>
    </w:p>
    <w:p>
      <w:pPr>
        <w:pStyle w:val="BodyText"/>
        <w:ind w:left="2046"/>
      </w:pPr>
      <w:r>
        <w:rPr>
          <w:b/>
        </w:rPr>
        <w:t>IV - </w:t>
      </w:r>
      <w:r>
        <w:rPr/>
        <w:t>relatório técnico de monitoramento, avaliação e os demais documentos registrados na cláusula décima primeira.</w:t>
      </w:r>
    </w:p>
    <w:p>
      <w:pPr>
        <w:pStyle w:val="BodyText"/>
        <w:spacing w:before="11"/>
        <w:rPr>
          <w:sz w:val="23"/>
        </w:rPr>
      </w:pPr>
    </w:p>
    <w:p>
      <w:pPr>
        <w:pStyle w:val="ListParagraph"/>
        <w:numPr>
          <w:ilvl w:val="1"/>
          <w:numId w:val="8"/>
        </w:numPr>
        <w:tabs>
          <w:tab w:pos="2219" w:val="left" w:leader="none"/>
        </w:tabs>
        <w:spacing w:line="240" w:lineRule="auto" w:before="0" w:after="0"/>
        <w:ind w:left="635" w:right="176" w:firstLine="856"/>
        <w:jc w:val="both"/>
        <w:rPr>
          <w:sz w:val="24"/>
        </w:rPr>
      </w:pPr>
      <w:r>
        <w:rPr>
          <w:sz w:val="24"/>
        </w:rPr>
        <w:t>Além da análise do cumprimento do objeto e do alcance das metas previstas no plano de trabalho, o gestor da parceria, em seu parecer técnico, avaliará os efeitos da parceria.</w:t>
      </w:r>
    </w:p>
    <w:p>
      <w:pPr>
        <w:pStyle w:val="BodyText"/>
      </w:pPr>
    </w:p>
    <w:p>
      <w:pPr>
        <w:pStyle w:val="ListParagraph"/>
        <w:numPr>
          <w:ilvl w:val="1"/>
          <w:numId w:val="8"/>
        </w:numPr>
        <w:tabs>
          <w:tab w:pos="2325" w:val="left" w:leader="none"/>
        </w:tabs>
        <w:spacing w:line="240" w:lineRule="auto" w:before="0" w:after="0"/>
        <w:ind w:left="2324" w:right="0" w:hanging="833"/>
        <w:jc w:val="both"/>
        <w:rPr>
          <w:sz w:val="24"/>
        </w:rPr>
      </w:pPr>
      <w:r>
        <w:rPr>
          <w:sz w:val="24"/>
        </w:rPr>
        <w:t>Na</w:t>
      </w:r>
      <w:r>
        <w:rPr>
          <w:spacing w:val="43"/>
          <w:sz w:val="24"/>
        </w:rPr>
        <w:t> </w:t>
      </w:r>
      <w:r>
        <w:rPr>
          <w:sz w:val="24"/>
        </w:rPr>
        <w:t>hipótese</w:t>
      </w:r>
      <w:r>
        <w:rPr>
          <w:spacing w:val="43"/>
          <w:sz w:val="24"/>
        </w:rPr>
        <w:t> </w:t>
      </w:r>
      <w:r>
        <w:rPr>
          <w:sz w:val="24"/>
        </w:rPr>
        <w:t>da</w:t>
      </w:r>
      <w:r>
        <w:rPr>
          <w:spacing w:val="46"/>
          <w:sz w:val="24"/>
        </w:rPr>
        <w:t> </w:t>
      </w:r>
      <w:r>
        <w:rPr>
          <w:sz w:val="24"/>
        </w:rPr>
        <w:t>análise</w:t>
      </w:r>
      <w:r>
        <w:rPr>
          <w:spacing w:val="43"/>
          <w:sz w:val="24"/>
        </w:rPr>
        <w:t> </w:t>
      </w:r>
      <w:r>
        <w:rPr>
          <w:sz w:val="24"/>
        </w:rPr>
        <w:t>de</w:t>
      </w:r>
      <w:r>
        <w:rPr>
          <w:spacing w:val="43"/>
          <w:sz w:val="24"/>
        </w:rPr>
        <w:t> </w:t>
      </w:r>
      <w:r>
        <w:rPr>
          <w:sz w:val="24"/>
        </w:rPr>
        <w:t>que</w:t>
      </w:r>
      <w:r>
        <w:rPr>
          <w:spacing w:val="44"/>
          <w:sz w:val="24"/>
        </w:rPr>
        <w:t> </w:t>
      </w:r>
      <w:r>
        <w:rPr>
          <w:sz w:val="24"/>
        </w:rPr>
        <w:t>trata</w:t>
      </w:r>
      <w:r>
        <w:rPr>
          <w:spacing w:val="43"/>
          <w:sz w:val="24"/>
        </w:rPr>
        <w:t> </w:t>
      </w:r>
      <w:r>
        <w:rPr>
          <w:sz w:val="24"/>
        </w:rPr>
        <w:t>o</w:t>
      </w:r>
      <w:r>
        <w:rPr>
          <w:spacing w:val="44"/>
          <w:sz w:val="24"/>
        </w:rPr>
        <w:t> </w:t>
      </w:r>
      <w:r>
        <w:rPr>
          <w:sz w:val="24"/>
        </w:rPr>
        <w:t>item</w:t>
      </w:r>
      <w:r>
        <w:rPr>
          <w:spacing w:val="45"/>
          <w:sz w:val="24"/>
        </w:rPr>
        <w:t> </w:t>
      </w:r>
      <w:r>
        <w:rPr>
          <w:b/>
          <w:spacing w:val="-4"/>
          <w:sz w:val="24"/>
        </w:rPr>
        <w:t>11.9</w:t>
      </w:r>
      <w:r>
        <w:rPr>
          <w:b/>
          <w:spacing w:val="47"/>
          <w:sz w:val="24"/>
        </w:rPr>
        <w:t> </w:t>
      </w:r>
      <w:r>
        <w:rPr>
          <w:sz w:val="24"/>
        </w:rPr>
        <w:t>concluir</w:t>
      </w:r>
      <w:r>
        <w:rPr>
          <w:spacing w:val="44"/>
          <w:sz w:val="24"/>
        </w:rPr>
        <w:t> </w:t>
      </w:r>
      <w:r>
        <w:rPr>
          <w:sz w:val="24"/>
        </w:rPr>
        <w:t>que</w:t>
      </w:r>
      <w:r>
        <w:rPr>
          <w:spacing w:val="45"/>
          <w:sz w:val="24"/>
        </w:rPr>
        <w:t> </w:t>
      </w:r>
      <w:r>
        <w:rPr>
          <w:sz w:val="24"/>
        </w:rPr>
        <w:t>houve</w:t>
      </w:r>
    </w:p>
    <w:p>
      <w:pPr>
        <w:pStyle w:val="BodyText"/>
        <w:spacing w:before="10"/>
        <w:rPr>
          <w:sz w:val="28"/>
        </w:rPr>
      </w:pPr>
      <w:r>
        <w:rPr/>
        <w:pict>
          <v:shape style="position:absolute;margin-left:56.700001pt;margin-top:18.631983pt;width:510.3pt;height:.1pt;mso-position-horizontal-relative:page;mso-position-vertical-relative:paragraph;z-index:-251639808;mso-wrap-distance-left:0;mso-wrap-distance-right:0" coordorigin="1134,373" coordsize="10206,0" path="m1134,373l11340,373e" filled="false" stroked="true" strokeweight=".1pt" strokecolor="#000000">
            <v:path arrowok="t"/>
            <v:stroke dashstyle="solid"/>
            <w10:wrap type="topAndBottom"/>
          </v:shape>
        </w:pict>
      </w:r>
    </w:p>
    <w:p>
      <w:pPr>
        <w:spacing w:after="0"/>
        <w:rPr>
          <w:sz w:val="28"/>
        </w:rPr>
        <w:sectPr>
          <w:headerReference w:type="default" r:id="rId23"/>
          <w:footerReference w:type="default" r:id="rId24"/>
          <w:pgSz w:w="11900" w:h="16840"/>
          <w:pgMar w:header="622" w:footer="520" w:top="3040" w:bottom="720" w:left="500" w:right="440"/>
          <w:pgNumType w:start="10"/>
        </w:sectPr>
      </w:pPr>
    </w:p>
    <w:p>
      <w:pPr>
        <w:pStyle w:val="BodyText"/>
        <w:spacing w:before="6"/>
        <w:rPr>
          <w:sz w:val="16"/>
        </w:rPr>
      </w:pPr>
      <w:r>
        <w:rPr/>
        <w:pict>
          <v:shape style="position:absolute;margin-left:576.757813pt;margin-top:415.914032pt;width:10.95pt;height:387.1pt;mso-position-horizontal-relative:page;mso-position-vertical-relative:page;z-index:251679744" type="#_x0000_t202" filled="false" stroked="false">
            <v:textbox inset="0,0,0,0" style="layout-flow:vertical;mso-layout-flow-alt:bottom-to-top">
              <w:txbxContent>
                <w:p>
                  <w:pPr>
                    <w:spacing w:before="14"/>
                    <w:ind w:left="20" w:right="0" w:firstLine="0"/>
                    <w:jc w:val="left"/>
                    <w:rPr>
                      <w:sz w:val="16"/>
                    </w:rPr>
                  </w:pPr>
                  <w:r>
                    <w:rPr>
                      <w:color w:val="A9A9A9"/>
                      <w:sz w:val="16"/>
                    </w:rPr>
                    <w:t>Este documento foi assinado via DocFlow por José Augusto Pereira de Carvalho e Valmor Barbosa Bezerra</w:t>
                  </w:r>
                </w:p>
              </w:txbxContent>
            </v:textbox>
            <w10:wrap type="none"/>
          </v:shape>
        </w:pict>
      </w:r>
    </w:p>
    <w:p>
      <w:pPr>
        <w:pStyle w:val="BodyText"/>
        <w:spacing w:before="93"/>
        <w:ind w:left="635" w:right="179"/>
        <w:jc w:val="both"/>
      </w:pPr>
      <w:r>
        <w:rPr/>
        <w:t>descumprimento de metas estabelecidas no plano de trabalho ou evidência de irregularidade, o gestor da parceria, antes da emissão do parecer técnico conclusivo, notificará o </w:t>
      </w:r>
      <w:r>
        <w:rPr>
          <w:b/>
        </w:rPr>
        <w:t>PROPONENTE </w:t>
      </w:r>
      <w:r>
        <w:rPr/>
        <w:t>para que regularize a</w:t>
      </w:r>
      <w:r>
        <w:rPr>
          <w:spacing w:val="-2"/>
        </w:rPr>
        <w:t> </w:t>
      </w:r>
      <w:r>
        <w:rPr/>
        <w:t>documentação.</w:t>
      </w:r>
    </w:p>
    <w:p>
      <w:pPr>
        <w:pStyle w:val="BodyText"/>
      </w:pPr>
    </w:p>
    <w:p>
      <w:pPr>
        <w:pStyle w:val="ListParagraph"/>
        <w:numPr>
          <w:ilvl w:val="1"/>
          <w:numId w:val="8"/>
        </w:numPr>
        <w:tabs>
          <w:tab w:pos="2226" w:val="left" w:leader="none"/>
        </w:tabs>
        <w:spacing w:line="240" w:lineRule="auto" w:before="0" w:after="0"/>
        <w:ind w:left="2226" w:right="0" w:hanging="734"/>
        <w:jc w:val="both"/>
        <w:rPr>
          <w:sz w:val="24"/>
        </w:rPr>
      </w:pPr>
      <w:r>
        <w:rPr>
          <w:sz w:val="24"/>
        </w:rPr>
        <w:t>O </w:t>
      </w:r>
      <w:r>
        <w:rPr>
          <w:b/>
          <w:sz w:val="24"/>
        </w:rPr>
        <w:t>PROPONENTE </w:t>
      </w:r>
      <w:r>
        <w:rPr>
          <w:sz w:val="24"/>
        </w:rPr>
        <w:t>deverá observar os seguintes</w:t>
      </w:r>
      <w:r>
        <w:rPr>
          <w:spacing w:val="-4"/>
          <w:sz w:val="24"/>
        </w:rPr>
        <w:t> </w:t>
      </w:r>
      <w:r>
        <w:rPr>
          <w:sz w:val="24"/>
        </w:rPr>
        <w:t>prazos:</w:t>
      </w:r>
    </w:p>
    <w:p>
      <w:pPr>
        <w:pStyle w:val="ListParagraph"/>
        <w:numPr>
          <w:ilvl w:val="0"/>
          <w:numId w:val="14"/>
        </w:numPr>
        <w:tabs>
          <w:tab w:pos="2210" w:val="left" w:leader="none"/>
        </w:tabs>
        <w:spacing w:line="240" w:lineRule="auto" w:before="0" w:after="0"/>
        <w:ind w:left="2046" w:right="180" w:firstLine="0"/>
        <w:jc w:val="both"/>
        <w:rPr>
          <w:sz w:val="24"/>
        </w:rPr>
      </w:pPr>
      <w:r>
        <w:rPr>
          <w:b/>
          <w:sz w:val="24"/>
        </w:rPr>
        <w:t>- </w:t>
      </w:r>
      <w:r>
        <w:rPr>
          <w:sz w:val="24"/>
        </w:rPr>
        <w:t>a prestação de contas anual deverá ser apresentada no prazo de 30 (trinta) dias após o fim de cada exercício, prorrogável por até 15 (quinze) dias, mediante justificativa e solicitação prévia (§ 1º. Do art. 59 do Decreto (Federal) nº. 8.726/2016);</w:t>
      </w:r>
    </w:p>
    <w:p>
      <w:pPr>
        <w:pStyle w:val="ListParagraph"/>
        <w:numPr>
          <w:ilvl w:val="0"/>
          <w:numId w:val="14"/>
        </w:numPr>
        <w:tabs>
          <w:tab w:pos="2306" w:val="left" w:leader="none"/>
        </w:tabs>
        <w:spacing w:line="240" w:lineRule="auto" w:before="0" w:after="0"/>
        <w:ind w:left="2046" w:right="179" w:firstLine="0"/>
        <w:jc w:val="both"/>
        <w:rPr>
          <w:sz w:val="24"/>
        </w:rPr>
      </w:pPr>
      <w:r>
        <w:rPr>
          <w:b/>
          <w:sz w:val="24"/>
        </w:rPr>
        <w:t>- </w:t>
      </w:r>
      <w:r>
        <w:rPr>
          <w:sz w:val="24"/>
        </w:rPr>
        <w:t>a prestação de contas final deverá ser apresentada no prazo de até 90 (noventa) dias a partir do término da vigência da parceria (art. 69 da Lei (Federal) nº. 13.019/2014 e§ 3° do art. 9° do Decreto (Estadual) nº 30.874/2017), prorrogável por até 30 (trinta) dias, mediante justificativa e solicitação</w:t>
      </w:r>
      <w:r>
        <w:rPr>
          <w:spacing w:val="-13"/>
          <w:sz w:val="24"/>
        </w:rPr>
        <w:t> </w:t>
      </w:r>
      <w:r>
        <w:rPr>
          <w:sz w:val="24"/>
        </w:rPr>
        <w:t>prévia.</w:t>
      </w:r>
    </w:p>
    <w:p>
      <w:pPr>
        <w:pStyle w:val="BodyText"/>
      </w:pPr>
    </w:p>
    <w:p>
      <w:pPr>
        <w:pStyle w:val="ListParagraph"/>
        <w:numPr>
          <w:ilvl w:val="1"/>
          <w:numId w:val="8"/>
        </w:numPr>
        <w:tabs>
          <w:tab w:pos="2240" w:val="left" w:leader="none"/>
        </w:tabs>
        <w:spacing w:line="240" w:lineRule="auto" w:before="0" w:after="0"/>
        <w:ind w:left="635" w:right="186" w:firstLine="856"/>
        <w:jc w:val="both"/>
        <w:rPr>
          <w:sz w:val="24"/>
        </w:rPr>
      </w:pPr>
      <w:r>
        <w:rPr>
          <w:sz w:val="24"/>
        </w:rPr>
        <w:t>O parecer técnico conclusivo da prestação de contas final embasará a decisão da autoridade competente e poderá concluir</w:t>
      </w:r>
      <w:r>
        <w:rPr>
          <w:spacing w:val="-6"/>
          <w:sz w:val="24"/>
        </w:rPr>
        <w:t> </w:t>
      </w:r>
      <w:r>
        <w:rPr>
          <w:sz w:val="24"/>
        </w:rPr>
        <w:t>pela:</w:t>
      </w:r>
    </w:p>
    <w:p>
      <w:pPr>
        <w:pStyle w:val="BodyText"/>
        <w:ind w:left="2046" w:right="186"/>
        <w:jc w:val="both"/>
      </w:pPr>
      <w:r>
        <w:rPr>
          <w:b/>
        </w:rPr>
        <w:t>I - </w:t>
      </w:r>
      <w:r>
        <w:rPr/>
        <w:t>aprovação das contas, que ocorrerá quando constatado o cumprimento do objeto e das metas da parceria;</w:t>
      </w:r>
    </w:p>
    <w:p>
      <w:pPr>
        <w:pStyle w:val="BodyText"/>
        <w:ind w:left="2046" w:right="181"/>
        <w:jc w:val="both"/>
      </w:pPr>
      <w:r>
        <w:rPr>
          <w:b/>
        </w:rPr>
        <w:t>lI - </w:t>
      </w:r>
      <w:r>
        <w:rPr/>
        <w:t>aprovação das contas com ressalvas, que ocorrerá quando, apesar de cumpridos o objeto e as metas da parceria, for constatada impropriedade ou qualquer outra falta de natureza formal que não resulte em dano ao erário; ou</w:t>
      </w:r>
    </w:p>
    <w:p>
      <w:pPr>
        <w:pStyle w:val="BodyText"/>
        <w:ind w:left="2046"/>
        <w:jc w:val="both"/>
      </w:pPr>
      <w:r>
        <w:rPr>
          <w:b/>
        </w:rPr>
        <w:t>IlI - </w:t>
      </w:r>
      <w:r>
        <w:rPr/>
        <w:t>rejeição das contas, que ocorrerá nas seguintes hipóteses:</w:t>
      </w:r>
    </w:p>
    <w:p>
      <w:pPr>
        <w:pStyle w:val="ListParagraph"/>
        <w:numPr>
          <w:ilvl w:val="0"/>
          <w:numId w:val="15"/>
        </w:numPr>
        <w:tabs>
          <w:tab w:pos="2770" w:val="left" w:leader="none"/>
        </w:tabs>
        <w:spacing w:line="240" w:lineRule="auto" w:before="0" w:after="0"/>
        <w:ind w:left="2770" w:right="0" w:hanging="258"/>
        <w:jc w:val="left"/>
        <w:rPr>
          <w:sz w:val="24"/>
        </w:rPr>
      </w:pPr>
      <w:r>
        <w:rPr>
          <w:sz w:val="24"/>
        </w:rPr>
        <w:t>omissão no dever de prestar contas;</w:t>
      </w:r>
    </w:p>
    <w:p>
      <w:pPr>
        <w:pStyle w:val="ListParagraph"/>
        <w:numPr>
          <w:ilvl w:val="0"/>
          <w:numId w:val="15"/>
        </w:numPr>
        <w:tabs>
          <w:tab w:pos="2770" w:val="left" w:leader="none"/>
        </w:tabs>
        <w:spacing w:line="240" w:lineRule="auto" w:before="0" w:after="0"/>
        <w:ind w:left="2062" w:right="126" w:firstLine="450"/>
        <w:jc w:val="left"/>
        <w:rPr>
          <w:sz w:val="24"/>
        </w:rPr>
      </w:pPr>
      <w:r>
        <w:rPr>
          <w:sz w:val="24"/>
        </w:rPr>
        <w:t>descumprimento injustificado do objeto e das metas estabelecidas no plano de trabalho;</w:t>
      </w:r>
    </w:p>
    <w:p>
      <w:pPr>
        <w:pStyle w:val="ListParagraph"/>
        <w:numPr>
          <w:ilvl w:val="0"/>
          <w:numId w:val="15"/>
        </w:numPr>
        <w:tabs>
          <w:tab w:pos="2770" w:val="left" w:leader="none"/>
        </w:tabs>
        <w:spacing w:line="240" w:lineRule="auto" w:before="0" w:after="0"/>
        <w:ind w:left="2770" w:right="0" w:hanging="258"/>
        <w:jc w:val="left"/>
        <w:rPr>
          <w:sz w:val="24"/>
        </w:rPr>
      </w:pPr>
      <w:r>
        <w:rPr>
          <w:sz w:val="24"/>
        </w:rPr>
        <w:t>dano ao erário decorrente de ato de gestão ilegítimo ou antieconômico;</w:t>
      </w:r>
      <w:r>
        <w:rPr>
          <w:spacing w:val="-20"/>
          <w:sz w:val="24"/>
        </w:rPr>
        <w:t> </w:t>
      </w:r>
      <w:r>
        <w:rPr>
          <w:sz w:val="24"/>
        </w:rPr>
        <w:t>ou</w:t>
      </w:r>
    </w:p>
    <w:p>
      <w:pPr>
        <w:pStyle w:val="ListParagraph"/>
        <w:numPr>
          <w:ilvl w:val="0"/>
          <w:numId w:val="15"/>
        </w:numPr>
        <w:tabs>
          <w:tab w:pos="2770" w:val="left" w:leader="none"/>
        </w:tabs>
        <w:spacing w:line="240" w:lineRule="auto" w:before="0" w:after="0"/>
        <w:ind w:left="2770" w:right="0" w:hanging="258"/>
        <w:jc w:val="left"/>
        <w:rPr>
          <w:sz w:val="24"/>
        </w:rPr>
      </w:pPr>
      <w:r>
        <w:rPr>
          <w:sz w:val="24"/>
        </w:rPr>
        <w:t>desfalque ou desvio de dinheiro, bens ou valores</w:t>
      </w:r>
      <w:r>
        <w:rPr>
          <w:spacing w:val="-11"/>
          <w:sz w:val="24"/>
        </w:rPr>
        <w:t> </w:t>
      </w:r>
      <w:r>
        <w:rPr>
          <w:sz w:val="24"/>
        </w:rPr>
        <w:t>públicos.</w:t>
      </w:r>
    </w:p>
    <w:p>
      <w:pPr>
        <w:pStyle w:val="BodyText"/>
        <w:rPr>
          <w:sz w:val="26"/>
        </w:rPr>
      </w:pPr>
    </w:p>
    <w:p>
      <w:pPr>
        <w:pStyle w:val="BodyText"/>
        <w:rPr>
          <w:sz w:val="22"/>
        </w:rPr>
      </w:pPr>
    </w:p>
    <w:p>
      <w:pPr>
        <w:pStyle w:val="Heading2"/>
        <w:jc w:val="both"/>
        <w:rPr>
          <w:u w:val="none"/>
        </w:rPr>
      </w:pPr>
      <w:r>
        <w:rPr>
          <w:u w:val="single"/>
        </w:rPr>
        <w:t>CLÁUSULA DÉCIMA SEGUNDA - DA RESCISÃO E DA DENÚNCIA</w:t>
      </w:r>
    </w:p>
    <w:p>
      <w:pPr>
        <w:pStyle w:val="BodyText"/>
        <w:rPr>
          <w:b/>
          <w:sz w:val="16"/>
        </w:rPr>
      </w:pPr>
    </w:p>
    <w:p>
      <w:pPr>
        <w:pStyle w:val="ListParagraph"/>
        <w:numPr>
          <w:ilvl w:val="1"/>
          <w:numId w:val="16"/>
        </w:numPr>
        <w:tabs>
          <w:tab w:pos="2122" w:val="left" w:leader="none"/>
        </w:tabs>
        <w:spacing w:line="240" w:lineRule="auto" w:before="92" w:after="0"/>
        <w:ind w:left="635" w:right="179" w:firstLine="856"/>
        <w:jc w:val="both"/>
        <w:rPr>
          <w:sz w:val="24"/>
        </w:rPr>
      </w:pPr>
      <w:r>
        <w:rPr>
          <w:sz w:val="24"/>
        </w:rPr>
        <w:t>O presente </w:t>
      </w:r>
      <w:r>
        <w:rPr>
          <w:spacing w:val="-6"/>
          <w:sz w:val="24"/>
        </w:rPr>
        <w:t>Termo </w:t>
      </w:r>
      <w:r>
        <w:rPr>
          <w:sz w:val="24"/>
        </w:rPr>
        <w:t>de Fomento poderá ser denunciado ou rescindido a qualquer tempo, por qualquer dos participes, desde que comunicada esta intenção à outra parte no prazo mínimo de 60 (sessenta) dias, ficando os partícipes responsáveis somente pelas obrigações e vantagens do tempo em que participaram voluntariamente da</w:t>
      </w:r>
      <w:r>
        <w:rPr>
          <w:spacing w:val="-13"/>
          <w:sz w:val="24"/>
        </w:rPr>
        <w:t> </w:t>
      </w:r>
      <w:r>
        <w:rPr>
          <w:sz w:val="24"/>
        </w:rPr>
        <w:t>avença.</w:t>
      </w:r>
    </w:p>
    <w:p>
      <w:pPr>
        <w:pStyle w:val="BodyText"/>
      </w:pPr>
    </w:p>
    <w:p>
      <w:pPr>
        <w:spacing w:before="1"/>
        <w:ind w:left="1492" w:right="0" w:firstLine="0"/>
        <w:jc w:val="both"/>
        <w:rPr>
          <w:sz w:val="24"/>
        </w:rPr>
      </w:pPr>
      <w:r>
        <w:rPr>
          <w:b/>
          <w:spacing w:val="-3"/>
          <w:sz w:val="24"/>
        </w:rPr>
        <w:t>PARÁGRAFO </w:t>
      </w:r>
      <w:r>
        <w:rPr>
          <w:b/>
          <w:sz w:val="24"/>
        </w:rPr>
        <w:t>ÚNICO. </w:t>
      </w:r>
      <w:r>
        <w:rPr>
          <w:sz w:val="24"/>
        </w:rPr>
        <w:t>O </w:t>
      </w:r>
      <w:r>
        <w:rPr>
          <w:spacing w:val="-6"/>
          <w:sz w:val="24"/>
        </w:rPr>
        <w:t>Termo </w:t>
      </w:r>
      <w:r>
        <w:rPr>
          <w:sz w:val="24"/>
        </w:rPr>
        <w:t>de Fomento será rescindido unilateralmente</w:t>
      </w:r>
      <w:r>
        <w:rPr>
          <w:spacing w:val="64"/>
          <w:sz w:val="24"/>
        </w:rPr>
        <w:t> </w:t>
      </w:r>
      <w:r>
        <w:rPr>
          <w:sz w:val="24"/>
        </w:rPr>
        <w:t>pela</w:t>
      </w:r>
    </w:p>
    <w:p>
      <w:pPr>
        <w:spacing w:before="0"/>
        <w:ind w:left="635" w:right="0" w:firstLine="0"/>
        <w:jc w:val="both"/>
        <w:rPr>
          <w:sz w:val="24"/>
        </w:rPr>
      </w:pPr>
      <w:r>
        <w:rPr>
          <w:b/>
          <w:sz w:val="24"/>
        </w:rPr>
        <w:t>SEDETEC </w:t>
      </w:r>
      <w:r>
        <w:rPr>
          <w:sz w:val="24"/>
        </w:rPr>
        <w:t>nas seguintes hipóteses:</w:t>
      </w:r>
    </w:p>
    <w:p>
      <w:pPr>
        <w:pStyle w:val="ListParagraph"/>
        <w:numPr>
          <w:ilvl w:val="2"/>
          <w:numId w:val="16"/>
        </w:numPr>
        <w:tabs>
          <w:tab w:pos="2238" w:val="left" w:leader="none"/>
        </w:tabs>
        <w:spacing w:line="240" w:lineRule="auto" w:before="0" w:after="0"/>
        <w:ind w:left="2046" w:right="178" w:firstLine="0"/>
        <w:jc w:val="both"/>
        <w:rPr>
          <w:sz w:val="24"/>
        </w:rPr>
      </w:pPr>
      <w:r>
        <w:rPr>
          <w:b/>
          <w:sz w:val="24"/>
        </w:rPr>
        <w:t>- </w:t>
      </w:r>
      <w:r>
        <w:rPr>
          <w:sz w:val="24"/>
        </w:rPr>
        <w:t>quando os recursos depositados em conta bancária específica não forem utilizados no prazo de 365 (trezentos e sessenta e cinco) dias, salvo se houver execução parcial do objeto e desde que previamente justificado pelo gestor da parceria e autorizado pelo Secretário de Estado, conforme previsto nos §§ 3° e 4° do art. 34 do Decreto n. 8.726 de 2016;</w:t>
      </w:r>
      <w:r>
        <w:rPr>
          <w:spacing w:val="-4"/>
          <w:sz w:val="24"/>
        </w:rPr>
        <w:t> </w:t>
      </w:r>
      <w:r>
        <w:rPr>
          <w:sz w:val="24"/>
        </w:rPr>
        <w:t>e</w:t>
      </w:r>
    </w:p>
    <w:p>
      <w:pPr>
        <w:pStyle w:val="ListParagraph"/>
        <w:numPr>
          <w:ilvl w:val="2"/>
          <w:numId w:val="16"/>
        </w:numPr>
        <w:tabs>
          <w:tab w:pos="2270" w:val="left" w:leader="none"/>
        </w:tabs>
        <w:spacing w:line="240" w:lineRule="auto" w:before="0" w:after="0"/>
        <w:ind w:left="2269" w:right="0" w:hanging="224"/>
        <w:jc w:val="both"/>
        <w:rPr>
          <w:sz w:val="24"/>
        </w:rPr>
      </w:pPr>
      <w:r>
        <w:rPr>
          <w:b/>
          <w:sz w:val="24"/>
        </w:rPr>
        <w:t>-</w:t>
      </w:r>
      <w:r>
        <w:rPr>
          <w:b/>
          <w:spacing w:val="23"/>
          <w:sz w:val="24"/>
        </w:rPr>
        <w:t> </w:t>
      </w:r>
      <w:r>
        <w:rPr>
          <w:sz w:val="24"/>
        </w:rPr>
        <w:t>caso</w:t>
      </w:r>
      <w:r>
        <w:rPr>
          <w:spacing w:val="23"/>
          <w:sz w:val="24"/>
        </w:rPr>
        <w:t> </w:t>
      </w:r>
      <w:r>
        <w:rPr>
          <w:sz w:val="24"/>
        </w:rPr>
        <w:t>haja</w:t>
      </w:r>
      <w:r>
        <w:rPr>
          <w:spacing w:val="21"/>
          <w:sz w:val="24"/>
        </w:rPr>
        <w:t> </w:t>
      </w:r>
      <w:r>
        <w:rPr>
          <w:sz w:val="24"/>
        </w:rPr>
        <w:t>irregularidade</w:t>
      </w:r>
      <w:r>
        <w:rPr>
          <w:spacing w:val="21"/>
          <w:sz w:val="24"/>
        </w:rPr>
        <w:t> </w:t>
      </w:r>
      <w:r>
        <w:rPr>
          <w:sz w:val="24"/>
        </w:rPr>
        <w:t>ou</w:t>
      </w:r>
      <w:r>
        <w:rPr>
          <w:spacing w:val="21"/>
          <w:sz w:val="24"/>
        </w:rPr>
        <w:t> </w:t>
      </w:r>
      <w:r>
        <w:rPr>
          <w:sz w:val="24"/>
        </w:rPr>
        <w:t>inexecução</w:t>
      </w:r>
      <w:r>
        <w:rPr>
          <w:spacing w:val="23"/>
          <w:sz w:val="24"/>
        </w:rPr>
        <w:t> </w:t>
      </w:r>
      <w:r>
        <w:rPr>
          <w:sz w:val="24"/>
        </w:rPr>
        <w:t>parcial</w:t>
      </w:r>
      <w:r>
        <w:rPr>
          <w:spacing w:val="22"/>
          <w:sz w:val="24"/>
        </w:rPr>
        <w:t> </w:t>
      </w:r>
      <w:r>
        <w:rPr>
          <w:sz w:val="24"/>
        </w:rPr>
        <w:t>do</w:t>
      </w:r>
      <w:r>
        <w:rPr>
          <w:spacing w:val="21"/>
          <w:sz w:val="24"/>
        </w:rPr>
        <w:t> </w:t>
      </w:r>
      <w:r>
        <w:rPr>
          <w:sz w:val="24"/>
        </w:rPr>
        <w:t>objeto,</w:t>
      </w:r>
      <w:r>
        <w:rPr>
          <w:spacing w:val="23"/>
          <w:sz w:val="24"/>
        </w:rPr>
        <w:t> </w:t>
      </w:r>
      <w:r>
        <w:rPr>
          <w:sz w:val="24"/>
        </w:rPr>
        <w:t>nos</w:t>
      </w:r>
      <w:r>
        <w:rPr>
          <w:spacing w:val="23"/>
          <w:sz w:val="24"/>
        </w:rPr>
        <w:t> </w:t>
      </w:r>
      <w:r>
        <w:rPr>
          <w:sz w:val="24"/>
        </w:rPr>
        <w:t>termos</w:t>
      </w:r>
      <w:r>
        <w:rPr>
          <w:spacing w:val="21"/>
          <w:sz w:val="24"/>
        </w:rPr>
        <w:t> </w:t>
      </w:r>
      <w:r>
        <w:rPr>
          <w:sz w:val="24"/>
        </w:rPr>
        <w:t>do</w:t>
      </w:r>
      <w:r>
        <w:rPr>
          <w:spacing w:val="23"/>
          <w:sz w:val="24"/>
        </w:rPr>
        <w:t> </w:t>
      </w:r>
      <w:r>
        <w:rPr>
          <w:sz w:val="24"/>
        </w:rPr>
        <w:t>art.</w:t>
      </w:r>
    </w:p>
    <w:p>
      <w:pPr>
        <w:pStyle w:val="BodyText"/>
        <w:spacing w:before="10"/>
        <w:rPr>
          <w:sz w:val="28"/>
        </w:rPr>
      </w:pPr>
      <w:r>
        <w:rPr/>
        <w:pict>
          <v:shape style="position:absolute;margin-left:56.700001pt;margin-top:18.606640pt;width:510.3pt;height:.1pt;mso-position-horizontal-relative:page;mso-position-vertical-relative:paragraph;z-index:-251637760;mso-wrap-distance-left:0;mso-wrap-distance-right:0" coordorigin="1134,372" coordsize="10206,0" path="m1134,372l11340,372e" filled="false" stroked="true" strokeweight=".1pt" strokecolor="#000000">
            <v:path arrowok="t"/>
            <v:stroke dashstyle="solid"/>
            <w10:wrap type="topAndBottom"/>
          </v:shape>
        </w:pict>
      </w:r>
    </w:p>
    <w:p>
      <w:pPr>
        <w:spacing w:after="0"/>
        <w:rPr>
          <w:sz w:val="28"/>
        </w:rPr>
        <w:sectPr>
          <w:headerReference w:type="default" r:id="rId25"/>
          <w:footerReference w:type="default" r:id="rId26"/>
          <w:pgSz w:w="11900" w:h="16840"/>
          <w:pgMar w:header="622" w:footer="520" w:top="3040" w:bottom="720" w:left="500" w:right="440"/>
          <w:pgNumType w:start="11"/>
        </w:sectPr>
      </w:pPr>
    </w:p>
    <w:p>
      <w:pPr>
        <w:pStyle w:val="BodyText"/>
        <w:spacing w:before="6"/>
        <w:rPr>
          <w:sz w:val="16"/>
        </w:rPr>
      </w:pPr>
      <w:r>
        <w:rPr/>
        <w:pict>
          <v:shape style="position:absolute;margin-left:576.757813pt;margin-top:415.914032pt;width:10.95pt;height:387.1pt;mso-position-horizontal-relative:page;mso-position-vertical-relative:page;z-index:251681792" type="#_x0000_t202" filled="false" stroked="false">
            <v:textbox inset="0,0,0,0" style="layout-flow:vertical;mso-layout-flow-alt:bottom-to-top">
              <w:txbxContent>
                <w:p>
                  <w:pPr>
                    <w:spacing w:before="14"/>
                    <w:ind w:left="20" w:right="0" w:firstLine="0"/>
                    <w:jc w:val="left"/>
                    <w:rPr>
                      <w:sz w:val="16"/>
                    </w:rPr>
                  </w:pPr>
                  <w:r>
                    <w:rPr>
                      <w:color w:val="A9A9A9"/>
                      <w:sz w:val="16"/>
                    </w:rPr>
                    <w:t>Este documento foi assinado via DocFlow por José Augusto Pereira de Carvalho e Valmor Barbosa Bezerra</w:t>
                  </w:r>
                </w:p>
              </w:txbxContent>
            </v:textbox>
            <w10:wrap type="none"/>
          </v:shape>
        </w:pict>
      </w:r>
    </w:p>
    <w:p>
      <w:pPr>
        <w:pStyle w:val="BodyText"/>
        <w:spacing w:before="93"/>
        <w:ind w:left="299" w:right="2039"/>
        <w:jc w:val="center"/>
      </w:pPr>
      <w:r>
        <w:rPr/>
        <w:t>61, § 4°, inciso l i, do Decreto n. 8.726, de 2016.</w:t>
      </w:r>
    </w:p>
    <w:p>
      <w:pPr>
        <w:pStyle w:val="BodyText"/>
        <w:rPr>
          <w:sz w:val="26"/>
        </w:rPr>
      </w:pPr>
    </w:p>
    <w:p>
      <w:pPr>
        <w:pStyle w:val="BodyText"/>
        <w:rPr>
          <w:sz w:val="22"/>
        </w:rPr>
      </w:pPr>
    </w:p>
    <w:p>
      <w:pPr>
        <w:pStyle w:val="Heading2"/>
        <w:ind w:left="212" w:right="2039"/>
        <w:jc w:val="center"/>
        <w:rPr>
          <w:u w:val="none"/>
        </w:rPr>
      </w:pPr>
      <w:r>
        <w:rPr>
          <w:u w:val="single"/>
        </w:rPr>
        <w:t>CLÁUSULA DÉCIMA TERCEIRA - DA RESTITUIÇÃO DOS RECURSOS</w:t>
      </w:r>
    </w:p>
    <w:p>
      <w:pPr>
        <w:pStyle w:val="BodyText"/>
        <w:spacing w:before="11"/>
        <w:rPr>
          <w:b/>
          <w:sz w:val="15"/>
        </w:rPr>
      </w:pPr>
    </w:p>
    <w:p>
      <w:pPr>
        <w:pStyle w:val="ListParagraph"/>
        <w:numPr>
          <w:ilvl w:val="1"/>
          <w:numId w:val="17"/>
        </w:numPr>
        <w:tabs>
          <w:tab w:pos="2176" w:val="left" w:leader="none"/>
        </w:tabs>
        <w:spacing w:line="240" w:lineRule="auto" w:before="92" w:after="0"/>
        <w:ind w:left="635" w:right="178" w:firstLine="856"/>
        <w:jc w:val="both"/>
        <w:rPr>
          <w:sz w:val="24"/>
        </w:rPr>
      </w:pPr>
      <w:r>
        <w:rPr>
          <w:sz w:val="24"/>
        </w:rPr>
        <w:t>Por ocasião da conclusão, denúncia, rescisão ou extinção deste </w:t>
      </w:r>
      <w:r>
        <w:rPr>
          <w:spacing w:val="-6"/>
          <w:sz w:val="24"/>
        </w:rPr>
        <w:t>Termo </w:t>
      </w:r>
      <w:r>
        <w:rPr>
          <w:sz w:val="24"/>
        </w:rPr>
        <w:t>de Fomento, a </w:t>
      </w:r>
      <w:r>
        <w:rPr>
          <w:b/>
          <w:sz w:val="24"/>
        </w:rPr>
        <w:t>PROPONENTE </w:t>
      </w:r>
      <w:r>
        <w:rPr>
          <w:sz w:val="24"/>
        </w:rPr>
        <w:t>deverá restituir, no prazo improrrogável de 30 (trinta) dias, os saldos financeiros</w:t>
      </w:r>
      <w:r>
        <w:rPr>
          <w:spacing w:val="-1"/>
          <w:sz w:val="24"/>
        </w:rPr>
        <w:t> </w:t>
      </w:r>
      <w:r>
        <w:rPr>
          <w:sz w:val="24"/>
        </w:rPr>
        <w:t>remanescentes.</w:t>
      </w:r>
    </w:p>
    <w:p>
      <w:pPr>
        <w:pStyle w:val="BodyText"/>
      </w:pPr>
    </w:p>
    <w:p>
      <w:pPr>
        <w:pStyle w:val="ListParagraph"/>
        <w:numPr>
          <w:ilvl w:val="1"/>
          <w:numId w:val="17"/>
        </w:numPr>
        <w:tabs>
          <w:tab w:pos="2106" w:val="left" w:leader="none"/>
        </w:tabs>
        <w:spacing w:line="240" w:lineRule="auto" w:before="0" w:after="0"/>
        <w:ind w:left="2106" w:right="0" w:hanging="614"/>
        <w:jc w:val="both"/>
        <w:rPr>
          <w:sz w:val="24"/>
        </w:rPr>
      </w:pPr>
      <w:r>
        <w:rPr>
          <w:sz w:val="24"/>
        </w:rPr>
        <w:t>Os recursos a serem restituídos nesta forma</w:t>
      </w:r>
      <w:r>
        <w:rPr>
          <w:spacing w:val="-7"/>
          <w:sz w:val="24"/>
        </w:rPr>
        <w:t> </w:t>
      </w:r>
      <w:r>
        <w:rPr>
          <w:sz w:val="24"/>
        </w:rPr>
        <w:t>incluem:</w:t>
      </w:r>
    </w:p>
    <w:p>
      <w:pPr>
        <w:pStyle w:val="BodyText"/>
        <w:ind w:left="2046" w:right="180"/>
        <w:jc w:val="both"/>
      </w:pPr>
      <w:r>
        <w:rPr>
          <w:b/>
        </w:rPr>
        <w:t>I - </w:t>
      </w:r>
      <w:r>
        <w:rPr/>
        <w:t>o eventual saldo remanescente dos recursos financeiros depositados na conta bancária específica, inclusive o proveniente das receitas obtidas nas aplicações financeiras realizadas e não utilizadas no objeto pactuado;</w:t>
      </w:r>
    </w:p>
    <w:p>
      <w:pPr>
        <w:pStyle w:val="BodyText"/>
        <w:ind w:left="2046" w:right="180"/>
        <w:jc w:val="both"/>
      </w:pPr>
      <w:r>
        <w:rPr>
          <w:b/>
        </w:rPr>
        <w:t>Il - </w:t>
      </w:r>
      <w:r>
        <w:rPr/>
        <w:t>os valores relacionados à irregularidade ou inexecução apurada ou à prestação de contas não apresentada, na forma do art. 61 do Decreto (Federal) nº</w:t>
      </w:r>
      <w:r>
        <w:rPr>
          <w:spacing w:val="-2"/>
        </w:rPr>
        <w:t> </w:t>
      </w:r>
      <w:r>
        <w:rPr/>
        <w:t>8.726/2016;</w:t>
      </w:r>
    </w:p>
    <w:p>
      <w:pPr>
        <w:pStyle w:val="BodyText"/>
        <w:spacing w:before="1"/>
        <w:ind w:left="2046" w:right="178"/>
        <w:jc w:val="both"/>
      </w:pPr>
      <w:r>
        <w:rPr>
          <w:b/>
        </w:rPr>
        <w:t>IlI - </w:t>
      </w:r>
      <w:r>
        <w:rPr/>
        <w:t>o valor pelo qual os bens remanescentes foram adquiridos, na hipótese de dissolução da </w:t>
      </w:r>
      <w:r>
        <w:rPr>
          <w:b/>
        </w:rPr>
        <w:t>PROPONENTE </w:t>
      </w:r>
      <w:r>
        <w:rPr/>
        <w:t>ou quando a motivação da rejeição da prestação de contas estiver relacionada ao uso ou aquisição desses bens.</w:t>
      </w:r>
    </w:p>
    <w:p>
      <w:pPr>
        <w:pStyle w:val="BodyText"/>
        <w:spacing w:before="11"/>
        <w:rPr>
          <w:sz w:val="23"/>
        </w:rPr>
      </w:pPr>
    </w:p>
    <w:p>
      <w:pPr>
        <w:pStyle w:val="ListParagraph"/>
        <w:numPr>
          <w:ilvl w:val="1"/>
          <w:numId w:val="17"/>
        </w:numPr>
        <w:tabs>
          <w:tab w:pos="2120" w:val="left" w:leader="none"/>
        </w:tabs>
        <w:spacing w:line="240" w:lineRule="auto" w:before="0" w:after="0"/>
        <w:ind w:left="635" w:right="177" w:firstLine="856"/>
        <w:jc w:val="both"/>
        <w:rPr>
          <w:sz w:val="24"/>
        </w:rPr>
      </w:pPr>
      <w:r>
        <w:rPr>
          <w:sz w:val="24"/>
        </w:rPr>
        <w:t>A inobservância ao disposto nesta Cláusula enseja a instauração de </w:t>
      </w:r>
      <w:r>
        <w:rPr>
          <w:spacing w:val="-5"/>
          <w:sz w:val="24"/>
        </w:rPr>
        <w:t>Tomada </w:t>
      </w:r>
      <w:r>
        <w:rPr>
          <w:sz w:val="24"/>
        </w:rPr>
        <w:t>de Contas Especial, conforme art. 52 da Lei (Federal) nº</w:t>
      </w:r>
      <w:r>
        <w:rPr>
          <w:spacing w:val="-5"/>
          <w:sz w:val="24"/>
        </w:rPr>
        <w:t> </w:t>
      </w:r>
      <w:r>
        <w:rPr>
          <w:sz w:val="24"/>
        </w:rPr>
        <w:t>13.019/2014.</w:t>
      </w:r>
    </w:p>
    <w:p>
      <w:pPr>
        <w:pStyle w:val="BodyText"/>
      </w:pPr>
    </w:p>
    <w:p>
      <w:pPr>
        <w:pStyle w:val="ListParagraph"/>
        <w:numPr>
          <w:ilvl w:val="1"/>
          <w:numId w:val="17"/>
        </w:numPr>
        <w:tabs>
          <w:tab w:pos="2142" w:val="left" w:leader="none"/>
        </w:tabs>
        <w:spacing w:line="240" w:lineRule="auto" w:before="0" w:after="0"/>
        <w:ind w:left="635" w:right="179" w:firstLine="856"/>
        <w:jc w:val="both"/>
        <w:rPr>
          <w:sz w:val="24"/>
        </w:rPr>
      </w:pPr>
      <w:r>
        <w:rPr>
          <w:sz w:val="24"/>
        </w:rPr>
        <w:t>Os débitos a serem restituídos pelo </w:t>
      </w:r>
      <w:r>
        <w:rPr>
          <w:b/>
          <w:sz w:val="24"/>
        </w:rPr>
        <w:t>PROPONENTE </w:t>
      </w:r>
      <w:r>
        <w:rPr>
          <w:sz w:val="24"/>
        </w:rPr>
        <w:t>serão apurados mediante atualização monetária, acrescido de juros calculados da seguinte</w:t>
      </w:r>
      <w:r>
        <w:rPr>
          <w:spacing w:val="-6"/>
          <w:sz w:val="24"/>
        </w:rPr>
        <w:t> </w:t>
      </w:r>
      <w:r>
        <w:rPr>
          <w:sz w:val="24"/>
        </w:rPr>
        <w:t>forma:</w:t>
      </w:r>
    </w:p>
    <w:p>
      <w:pPr>
        <w:pStyle w:val="ListParagraph"/>
        <w:numPr>
          <w:ilvl w:val="2"/>
          <w:numId w:val="17"/>
        </w:numPr>
        <w:tabs>
          <w:tab w:pos="2250" w:val="left" w:leader="none"/>
        </w:tabs>
        <w:spacing w:line="240" w:lineRule="auto" w:before="0" w:after="0"/>
        <w:ind w:left="2046" w:right="176" w:firstLine="0"/>
        <w:jc w:val="both"/>
        <w:rPr>
          <w:sz w:val="24"/>
        </w:rPr>
      </w:pPr>
      <w:r>
        <w:rPr>
          <w:b/>
          <w:sz w:val="24"/>
        </w:rPr>
        <w:t>- </w:t>
      </w:r>
      <w:r>
        <w:rPr>
          <w:sz w:val="24"/>
        </w:rPr>
        <w:t>nos casos em que for constatado dolo do(a) PARCEIRO(A) ou de seus prepostos, os juros serão calculados a partir das datas de liberação dos recursos, sem subtração de eventual período de inércia da administração pública quanto ao prazo de que trata o§ 3° do art. 69, do Decreto (Federal) nº 8.726/2016;</w:t>
      </w:r>
      <w:r>
        <w:rPr>
          <w:spacing w:val="-16"/>
          <w:sz w:val="24"/>
        </w:rPr>
        <w:t> </w:t>
      </w:r>
      <w:r>
        <w:rPr>
          <w:sz w:val="24"/>
        </w:rPr>
        <w:t>e</w:t>
      </w:r>
    </w:p>
    <w:p>
      <w:pPr>
        <w:pStyle w:val="ListParagraph"/>
        <w:numPr>
          <w:ilvl w:val="2"/>
          <w:numId w:val="17"/>
        </w:numPr>
        <w:tabs>
          <w:tab w:pos="2246" w:val="left" w:leader="none"/>
        </w:tabs>
        <w:spacing w:line="240" w:lineRule="auto" w:before="0" w:after="0"/>
        <w:ind w:left="2245" w:right="0" w:hanging="200"/>
        <w:jc w:val="both"/>
        <w:rPr>
          <w:sz w:val="24"/>
        </w:rPr>
      </w:pPr>
      <w:r>
        <w:rPr>
          <w:b/>
          <w:sz w:val="24"/>
        </w:rPr>
        <w:t>- </w:t>
      </w:r>
      <w:r>
        <w:rPr>
          <w:sz w:val="24"/>
        </w:rPr>
        <w:t>nos demais casos, os juros serão calculados a</w:t>
      </w:r>
      <w:r>
        <w:rPr>
          <w:spacing w:val="-5"/>
          <w:sz w:val="24"/>
        </w:rPr>
        <w:t> </w:t>
      </w:r>
      <w:r>
        <w:rPr>
          <w:sz w:val="24"/>
        </w:rPr>
        <w:t>partir:</w:t>
      </w:r>
    </w:p>
    <w:p>
      <w:pPr>
        <w:pStyle w:val="ListParagraph"/>
        <w:numPr>
          <w:ilvl w:val="3"/>
          <w:numId w:val="17"/>
        </w:numPr>
        <w:tabs>
          <w:tab w:pos="2770" w:val="left" w:leader="none"/>
        </w:tabs>
        <w:spacing w:line="240" w:lineRule="auto" w:before="0" w:after="0"/>
        <w:ind w:left="2062" w:right="115" w:firstLine="450"/>
        <w:jc w:val="both"/>
        <w:rPr>
          <w:sz w:val="24"/>
        </w:rPr>
      </w:pPr>
      <w:r>
        <w:rPr>
          <w:sz w:val="24"/>
        </w:rPr>
        <w:t>do decurso do prazo estabelecido no ato de notificação do </w:t>
      </w:r>
      <w:r>
        <w:rPr>
          <w:b/>
          <w:sz w:val="24"/>
        </w:rPr>
        <w:t>PROPONENTE </w:t>
      </w:r>
      <w:r>
        <w:rPr>
          <w:sz w:val="24"/>
        </w:rPr>
        <w:t>ou de seus prepostos para restituição dos valores ocorrida no curso da execução deste </w:t>
      </w:r>
      <w:r>
        <w:rPr>
          <w:spacing w:val="-5"/>
          <w:sz w:val="24"/>
        </w:rPr>
        <w:t>Termo;</w:t>
      </w:r>
      <w:r>
        <w:rPr>
          <w:spacing w:val="-4"/>
          <w:sz w:val="24"/>
        </w:rPr>
        <w:t> </w:t>
      </w:r>
      <w:r>
        <w:rPr>
          <w:sz w:val="24"/>
        </w:rPr>
        <w:t>ou</w:t>
      </w:r>
    </w:p>
    <w:p>
      <w:pPr>
        <w:pStyle w:val="ListParagraph"/>
        <w:numPr>
          <w:ilvl w:val="3"/>
          <w:numId w:val="17"/>
        </w:numPr>
        <w:tabs>
          <w:tab w:pos="2770" w:val="left" w:leader="none"/>
        </w:tabs>
        <w:spacing w:line="240" w:lineRule="auto" w:before="0" w:after="0"/>
        <w:ind w:left="2062" w:right="117" w:firstLine="450"/>
        <w:jc w:val="both"/>
        <w:rPr>
          <w:sz w:val="24"/>
        </w:rPr>
      </w:pPr>
      <w:r>
        <w:rPr>
          <w:sz w:val="24"/>
        </w:rPr>
        <w:t>do término da execução da parceria, caso não tenha havido a notificação de que trata a alínea "a" deste inciso, com subtração de eventual período de inércia da </w:t>
      </w:r>
      <w:r>
        <w:rPr>
          <w:b/>
          <w:sz w:val="24"/>
        </w:rPr>
        <w:t>SEDETEC </w:t>
      </w:r>
      <w:r>
        <w:rPr>
          <w:sz w:val="24"/>
        </w:rPr>
        <w:t>quanto ao prazo de que trata o art. 13 do Decreto (Estadual) nº 30.874/2017.</w:t>
      </w:r>
    </w:p>
    <w:p>
      <w:pPr>
        <w:pStyle w:val="BodyText"/>
      </w:pPr>
    </w:p>
    <w:p>
      <w:pPr>
        <w:pStyle w:val="ListParagraph"/>
        <w:numPr>
          <w:ilvl w:val="1"/>
          <w:numId w:val="17"/>
        </w:numPr>
        <w:tabs>
          <w:tab w:pos="2250" w:val="left" w:leader="none"/>
        </w:tabs>
        <w:spacing w:line="240" w:lineRule="auto" w:before="1" w:after="0"/>
        <w:ind w:left="635" w:right="178" w:firstLine="856"/>
        <w:jc w:val="both"/>
        <w:rPr>
          <w:sz w:val="24"/>
        </w:rPr>
      </w:pPr>
      <w:r>
        <w:rPr>
          <w:sz w:val="24"/>
        </w:rPr>
        <w:t>Os débitos a serem restituídos pelo </w:t>
      </w:r>
      <w:r>
        <w:rPr>
          <w:b/>
          <w:sz w:val="24"/>
        </w:rPr>
        <w:t>PROPONENTE </w:t>
      </w:r>
      <w:r>
        <w:rPr>
          <w:sz w:val="24"/>
        </w:rPr>
        <w:t>observarão juros equivalentes à taxa referencial do Sistema Especial de Liquidação e de Custódia - Selic para títulos federais, acumulada mensalmente, até o último dia do mês anterior ao do pagamento, e de 1% (um por cento) no mês de</w:t>
      </w:r>
      <w:r>
        <w:rPr>
          <w:spacing w:val="-1"/>
          <w:sz w:val="24"/>
        </w:rPr>
        <w:t> </w:t>
      </w:r>
      <w:r>
        <w:rPr>
          <w:sz w:val="24"/>
        </w:rPr>
        <w:t>pagamento.</w:t>
      </w:r>
    </w:p>
    <w:p>
      <w:pPr>
        <w:pStyle w:val="BodyText"/>
        <w:spacing w:before="11"/>
        <w:rPr>
          <w:sz w:val="23"/>
        </w:rPr>
      </w:pPr>
    </w:p>
    <w:p>
      <w:pPr>
        <w:pStyle w:val="Heading2"/>
        <w:rPr>
          <w:u w:val="none"/>
        </w:rPr>
      </w:pPr>
      <w:r>
        <w:rPr>
          <w:u w:val="single"/>
        </w:rPr>
        <w:t>CLÁUSULA DÉCIMA QUARTA - DAS SANÇÕES ADMINISTRATIVAS E DA TOMADA DE</w:t>
      </w:r>
    </w:p>
    <w:p>
      <w:pPr>
        <w:pStyle w:val="BodyText"/>
        <w:spacing w:before="10"/>
        <w:rPr>
          <w:b/>
          <w:sz w:val="28"/>
        </w:rPr>
      </w:pPr>
      <w:r>
        <w:rPr/>
        <w:pict>
          <v:shape style="position:absolute;margin-left:56.700001pt;margin-top:18.631495pt;width:510.3pt;height:.1pt;mso-position-horizontal-relative:page;mso-position-vertical-relative:paragraph;z-index:-251635712;mso-wrap-distance-left:0;mso-wrap-distance-right:0" coordorigin="1134,373" coordsize="10206,0" path="m1134,373l11340,373e" filled="false" stroked="true" strokeweight=".1pt" strokecolor="#000000">
            <v:path arrowok="t"/>
            <v:stroke dashstyle="solid"/>
            <w10:wrap type="topAndBottom"/>
          </v:shape>
        </w:pict>
      </w:r>
    </w:p>
    <w:p>
      <w:pPr>
        <w:spacing w:after="0"/>
        <w:rPr>
          <w:sz w:val="28"/>
        </w:rPr>
        <w:sectPr>
          <w:headerReference w:type="default" r:id="rId27"/>
          <w:footerReference w:type="default" r:id="rId28"/>
          <w:pgSz w:w="11900" w:h="16840"/>
          <w:pgMar w:header="622" w:footer="520" w:top="3040" w:bottom="720" w:left="500" w:right="440"/>
          <w:pgNumType w:start="12"/>
        </w:sectPr>
      </w:pPr>
    </w:p>
    <w:p>
      <w:pPr>
        <w:pStyle w:val="BodyText"/>
        <w:spacing w:before="6"/>
        <w:rPr>
          <w:b/>
          <w:sz w:val="16"/>
        </w:rPr>
      </w:pPr>
      <w:r>
        <w:rPr/>
        <w:pict>
          <v:shape style="position:absolute;margin-left:576.757813pt;margin-top:415.914032pt;width:10.95pt;height:387.1pt;mso-position-horizontal-relative:page;mso-position-vertical-relative:page;z-index:251683840" type="#_x0000_t202" filled="false" stroked="false">
            <v:textbox inset="0,0,0,0" style="layout-flow:vertical;mso-layout-flow-alt:bottom-to-top">
              <w:txbxContent>
                <w:p>
                  <w:pPr>
                    <w:spacing w:before="14"/>
                    <w:ind w:left="20" w:right="0" w:firstLine="0"/>
                    <w:jc w:val="left"/>
                    <w:rPr>
                      <w:sz w:val="16"/>
                    </w:rPr>
                  </w:pPr>
                  <w:r>
                    <w:rPr>
                      <w:color w:val="A9A9A9"/>
                      <w:sz w:val="16"/>
                    </w:rPr>
                    <w:t>Este documento foi assinado via DocFlow por José Augusto Pereira de Carvalho e Valmor Barbosa Bezerra</w:t>
                  </w:r>
                </w:p>
              </w:txbxContent>
            </v:textbox>
            <w10:wrap type="none"/>
          </v:shape>
        </w:pict>
      </w:r>
    </w:p>
    <w:p>
      <w:pPr>
        <w:spacing w:before="93"/>
        <w:ind w:left="635" w:right="0" w:firstLine="0"/>
        <w:jc w:val="left"/>
        <w:rPr>
          <w:b/>
          <w:sz w:val="24"/>
        </w:rPr>
      </w:pPr>
      <w:r>
        <w:rPr>
          <w:b/>
          <w:sz w:val="24"/>
          <w:u w:val="single"/>
        </w:rPr>
        <w:t>CONTAS ESPECIAL</w:t>
      </w:r>
    </w:p>
    <w:p>
      <w:pPr>
        <w:pStyle w:val="BodyText"/>
        <w:spacing w:before="11"/>
        <w:rPr>
          <w:b/>
          <w:sz w:val="15"/>
        </w:rPr>
      </w:pPr>
    </w:p>
    <w:p>
      <w:pPr>
        <w:pStyle w:val="BodyText"/>
        <w:spacing w:before="92"/>
        <w:ind w:left="635" w:right="185" w:firstLine="856"/>
        <w:jc w:val="both"/>
      </w:pPr>
      <w:r>
        <w:rPr>
          <w:b/>
        </w:rPr>
        <w:t>14.1) </w:t>
      </w:r>
      <w:r>
        <w:rPr/>
        <w:t>Nos termos do art. 73 da Lei (Federal) nº 13.019/2014, dos artigos 10 e 12 do Decreto (Estadual) nº 30.874/2017, e dos artigos 71 a 74 do Decreto (Federal) nº 8.726/2016, a administração pública poderá, garantida a prévia defesa, aplicar as seguintes</w:t>
      </w:r>
      <w:r>
        <w:rPr>
          <w:spacing w:val="-20"/>
        </w:rPr>
        <w:t> </w:t>
      </w:r>
      <w:r>
        <w:rPr/>
        <w:t>sanções:</w:t>
      </w:r>
    </w:p>
    <w:p>
      <w:pPr>
        <w:pStyle w:val="BodyText"/>
      </w:pPr>
    </w:p>
    <w:p>
      <w:pPr>
        <w:spacing w:before="0"/>
        <w:ind w:left="2046" w:right="0" w:firstLine="0"/>
        <w:jc w:val="both"/>
        <w:rPr>
          <w:sz w:val="24"/>
        </w:rPr>
      </w:pPr>
      <w:r>
        <w:rPr>
          <w:b/>
          <w:sz w:val="24"/>
        </w:rPr>
        <w:t>I - </w:t>
      </w:r>
      <w:r>
        <w:rPr>
          <w:sz w:val="24"/>
        </w:rPr>
        <w:t>advertência;</w:t>
      </w:r>
    </w:p>
    <w:p>
      <w:pPr>
        <w:pStyle w:val="BodyText"/>
        <w:ind w:left="2046" w:right="179"/>
        <w:jc w:val="both"/>
      </w:pPr>
      <w:r>
        <w:rPr>
          <w:b/>
        </w:rPr>
        <w:t>lI - </w:t>
      </w:r>
      <w:r>
        <w:rPr/>
        <w:t>suspensão temporária da participação em chamamento público e impedimento de celebrar parceria ou contrato com órgãos e entidades da esfera de governo da administração pública sancionadora, por prazo não superior a 02 (dois) anos; e</w:t>
      </w:r>
    </w:p>
    <w:p>
      <w:pPr>
        <w:pStyle w:val="BodyText"/>
        <w:ind w:left="2046" w:right="178"/>
        <w:jc w:val="both"/>
      </w:pPr>
      <w:r>
        <w:rPr>
          <w:b/>
        </w:rPr>
        <w:t>IlI - </w:t>
      </w:r>
      <w:r>
        <w:rPr/>
        <w:t>declaração de inidoneidade para participar de chamamento público ou celebrar parceria ou contrato com órgãos e entidades de todas as esferas de governo, enquanto perdurarem os motivos determinantes da punição ou até que seja promovida a reabilitação perante a </w:t>
      </w:r>
      <w:r>
        <w:rPr>
          <w:b/>
        </w:rPr>
        <w:t>SEDETEC</w:t>
      </w:r>
      <w:r>
        <w:rPr/>
        <w:t>, que será concedida sempre que o </w:t>
      </w:r>
      <w:r>
        <w:rPr>
          <w:b/>
        </w:rPr>
        <w:t>PROPONENTE </w:t>
      </w:r>
      <w:r>
        <w:rPr/>
        <w:t>ressarcir a administração pública pelos prejuízos resultantes e após decorrido o prazo da sanção aplicada com base no inciso lI.</w:t>
      </w:r>
    </w:p>
    <w:p>
      <w:pPr>
        <w:pStyle w:val="BodyText"/>
      </w:pPr>
    </w:p>
    <w:p>
      <w:pPr>
        <w:spacing w:before="1"/>
        <w:ind w:left="635" w:right="185" w:firstLine="856"/>
        <w:jc w:val="both"/>
        <w:rPr>
          <w:sz w:val="24"/>
        </w:rPr>
      </w:pPr>
      <w:r>
        <w:rPr>
          <w:b/>
          <w:sz w:val="24"/>
        </w:rPr>
        <w:t>PARÁGRAFO ÚNICO. </w:t>
      </w:r>
      <w:r>
        <w:rPr>
          <w:sz w:val="24"/>
        </w:rPr>
        <w:t>A </w:t>
      </w:r>
      <w:r>
        <w:rPr>
          <w:b/>
          <w:sz w:val="24"/>
        </w:rPr>
        <w:t>SEDETEC </w:t>
      </w:r>
      <w:r>
        <w:rPr>
          <w:sz w:val="24"/>
        </w:rPr>
        <w:t>determinará a instauração da Tomada de Contas Especial nas seguintes hipóteses:</w:t>
      </w:r>
    </w:p>
    <w:p>
      <w:pPr>
        <w:pStyle w:val="BodyText"/>
        <w:spacing w:before="11"/>
        <w:rPr>
          <w:sz w:val="23"/>
        </w:rPr>
      </w:pPr>
    </w:p>
    <w:p>
      <w:pPr>
        <w:pStyle w:val="BodyText"/>
        <w:ind w:left="2046" w:right="178"/>
        <w:jc w:val="both"/>
      </w:pPr>
      <w:r>
        <w:rPr>
          <w:b/>
        </w:rPr>
        <w:t>I - </w:t>
      </w:r>
      <w:r>
        <w:rPr/>
        <w:t>caso conclua pela rescisão unilateral deste instrumento e o </w:t>
      </w:r>
      <w:r>
        <w:rPr>
          <w:b/>
        </w:rPr>
        <w:t>PROPONENTE </w:t>
      </w:r>
      <w:r>
        <w:rPr/>
        <w:t>não devolva os valores repassados relacionados à irregularidade ou inexecução apurada ou à prestação de contas não apresentada no prazo determinado;</w:t>
      </w:r>
      <w:r>
        <w:rPr>
          <w:spacing w:val="-18"/>
        </w:rPr>
        <w:t> </w:t>
      </w:r>
      <w:r>
        <w:rPr/>
        <w:t>e</w:t>
      </w:r>
    </w:p>
    <w:p>
      <w:pPr>
        <w:pStyle w:val="BodyText"/>
        <w:ind w:left="2046" w:right="176"/>
        <w:jc w:val="both"/>
      </w:pPr>
      <w:r>
        <w:rPr>
          <w:b/>
        </w:rPr>
        <w:t>lI - </w:t>
      </w:r>
      <w:r>
        <w:rPr/>
        <w:t>no caso de rejeição da prestação de contas, caso o </w:t>
      </w:r>
      <w:r>
        <w:rPr>
          <w:b/>
        </w:rPr>
        <w:t>PROPONENTE </w:t>
      </w:r>
      <w:r>
        <w:rPr/>
        <w:t>não devolva os recursos financeiros relacionados com a irregularidade ou inexecução do objeto apurada ou com a prestação de contas não apresentada, ou não providencie o ressarcimento ao erário por meio de ações compensatórias de interesse público, mediante a apresentação de novo plano de trabalho, nos termos do § 2° do art. 72 da Lei (Federal) nº 13.019/2014.</w:t>
      </w:r>
    </w:p>
    <w:p>
      <w:pPr>
        <w:pStyle w:val="BodyText"/>
        <w:rPr>
          <w:sz w:val="26"/>
        </w:rPr>
      </w:pPr>
    </w:p>
    <w:p>
      <w:pPr>
        <w:pStyle w:val="BodyText"/>
        <w:rPr>
          <w:sz w:val="22"/>
        </w:rPr>
      </w:pPr>
    </w:p>
    <w:p>
      <w:pPr>
        <w:pStyle w:val="Heading2"/>
        <w:rPr>
          <w:u w:val="none"/>
        </w:rPr>
      </w:pPr>
      <w:r>
        <w:rPr>
          <w:u w:val="single"/>
        </w:rPr>
        <w:t>CLÁUSULA DÉCIMA QUINTA – DA AÇÃO PROMOCIONAL</w:t>
      </w:r>
    </w:p>
    <w:p>
      <w:pPr>
        <w:pStyle w:val="BodyText"/>
        <w:rPr>
          <w:b/>
          <w:sz w:val="16"/>
        </w:rPr>
      </w:pPr>
    </w:p>
    <w:p>
      <w:pPr>
        <w:pStyle w:val="ListParagraph"/>
        <w:numPr>
          <w:ilvl w:val="1"/>
          <w:numId w:val="18"/>
        </w:numPr>
        <w:tabs>
          <w:tab w:pos="2122" w:val="left" w:leader="none"/>
        </w:tabs>
        <w:spacing w:line="240" w:lineRule="auto" w:before="92" w:after="0"/>
        <w:ind w:left="635" w:right="180" w:firstLine="856"/>
        <w:jc w:val="both"/>
        <w:rPr>
          <w:sz w:val="24"/>
        </w:rPr>
      </w:pPr>
      <w:r>
        <w:rPr>
          <w:sz w:val="24"/>
        </w:rPr>
        <w:t>Em qualquer ação promocional relacionada com o objeto do presente </w:t>
      </w:r>
      <w:r>
        <w:rPr>
          <w:spacing w:val="-6"/>
          <w:sz w:val="24"/>
        </w:rPr>
        <w:t>Termo </w:t>
      </w:r>
      <w:r>
        <w:rPr>
          <w:sz w:val="24"/>
        </w:rPr>
        <w:t>de Fomento, será obrigatoriamente destacada a participação da SEDETEC, observado o disposto no §1° do art. 37, da</w:t>
      </w:r>
      <w:r>
        <w:rPr>
          <w:spacing w:val="-1"/>
          <w:sz w:val="24"/>
        </w:rPr>
        <w:t> </w:t>
      </w:r>
      <w:r>
        <w:rPr>
          <w:sz w:val="24"/>
        </w:rPr>
        <w:t>Constituição.</w:t>
      </w:r>
    </w:p>
    <w:p>
      <w:pPr>
        <w:pStyle w:val="BodyText"/>
      </w:pPr>
    </w:p>
    <w:p>
      <w:pPr>
        <w:pStyle w:val="ListParagraph"/>
        <w:numPr>
          <w:ilvl w:val="1"/>
          <w:numId w:val="18"/>
        </w:numPr>
        <w:tabs>
          <w:tab w:pos="2224" w:val="left" w:leader="none"/>
        </w:tabs>
        <w:spacing w:line="240" w:lineRule="auto" w:before="1" w:after="0"/>
        <w:ind w:left="635" w:right="178" w:firstLine="856"/>
        <w:jc w:val="both"/>
        <w:rPr>
          <w:sz w:val="24"/>
        </w:rPr>
      </w:pPr>
      <w:r>
        <w:rPr>
          <w:sz w:val="24"/>
        </w:rPr>
        <w:t>O </w:t>
      </w:r>
      <w:r>
        <w:rPr>
          <w:b/>
          <w:sz w:val="24"/>
        </w:rPr>
        <w:t>PROPONENTE </w:t>
      </w:r>
      <w:r>
        <w:rPr>
          <w:sz w:val="24"/>
        </w:rPr>
        <w:t>deverá disponibilizar para a </w:t>
      </w:r>
      <w:r>
        <w:rPr>
          <w:b/>
          <w:sz w:val="24"/>
        </w:rPr>
        <w:t>SEDETEC </w:t>
      </w:r>
      <w:r>
        <w:rPr>
          <w:sz w:val="24"/>
        </w:rPr>
        <w:t>a “arte final” (conteúdo) do material produzido e seus formatos</w:t>
      </w:r>
      <w:r>
        <w:rPr>
          <w:spacing w:val="-7"/>
          <w:sz w:val="24"/>
        </w:rPr>
        <w:t> </w:t>
      </w:r>
      <w:r>
        <w:rPr>
          <w:sz w:val="24"/>
        </w:rPr>
        <w:t>acessíveis.</w:t>
      </w:r>
    </w:p>
    <w:p>
      <w:pPr>
        <w:pStyle w:val="BodyText"/>
        <w:spacing w:before="11"/>
        <w:rPr>
          <w:sz w:val="23"/>
        </w:rPr>
      </w:pPr>
    </w:p>
    <w:p>
      <w:pPr>
        <w:pStyle w:val="ListParagraph"/>
        <w:numPr>
          <w:ilvl w:val="1"/>
          <w:numId w:val="18"/>
        </w:numPr>
        <w:tabs>
          <w:tab w:pos="2132" w:val="left" w:leader="none"/>
        </w:tabs>
        <w:spacing w:line="240" w:lineRule="auto" w:before="0" w:after="0"/>
        <w:ind w:left="635" w:right="177" w:firstLine="856"/>
        <w:jc w:val="both"/>
        <w:rPr>
          <w:sz w:val="24"/>
        </w:rPr>
      </w:pPr>
      <w:r>
        <w:rPr>
          <w:sz w:val="24"/>
        </w:rPr>
        <w:t>A </w:t>
      </w:r>
      <w:r>
        <w:rPr>
          <w:b/>
          <w:sz w:val="24"/>
        </w:rPr>
        <w:t>SEDETEC </w:t>
      </w:r>
      <w:r>
        <w:rPr>
          <w:sz w:val="24"/>
        </w:rPr>
        <w:t>fica autorizada a reproduzir o conteúdo do material produzido em todos os países que achar conveniente e na rede mundial de computadores</w:t>
      </w:r>
      <w:r>
        <w:rPr>
          <w:spacing w:val="-20"/>
          <w:sz w:val="24"/>
        </w:rPr>
        <w:t> </w:t>
      </w:r>
      <w:r>
        <w:rPr>
          <w:sz w:val="24"/>
        </w:rPr>
        <w:t>(INTERNET).</w:t>
      </w:r>
    </w:p>
    <w:p>
      <w:pPr>
        <w:pStyle w:val="BodyText"/>
        <w:rPr>
          <w:sz w:val="20"/>
        </w:rPr>
      </w:pPr>
    </w:p>
    <w:p>
      <w:pPr>
        <w:pStyle w:val="BodyText"/>
        <w:rPr>
          <w:sz w:val="20"/>
        </w:rPr>
      </w:pPr>
    </w:p>
    <w:p>
      <w:pPr>
        <w:pStyle w:val="BodyText"/>
        <w:spacing w:before="10"/>
        <w:rPr>
          <w:sz w:val="12"/>
        </w:rPr>
      </w:pPr>
      <w:r>
        <w:rPr/>
        <w:pict>
          <v:shape style="position:absolute;margin-left:56.700001pt;margin-top:9.431885pt;width:510.3pt;height:.1pt;mso-position-horizontal-relative:page;mso-position-vertical-relative:paragraph;z-index:-251633664;mso-wrap-distance-left:0;mso-wrap-distance-right:0" coordorigin="1134,189" coordsize="10206,0" path="m1134,189l11340,189e" filled="false" stroked="true" strokeweight=".1pt" strokecolor="#000000">
            <v:path arrowok="t"/>
            <v:stroke dashstyle="solid"/>
            <w10:wrap type="topAndBottom"/>
          </v:shape>
        </w:pict>
      </w:r>
    </w:p>
    <w:p>
      <w:pPr>
        <w:spacing w:after="0"/>
        <w:rPr>
          <w:sz w:val="12"/>
        </w:rPr>
        <w:sectPr>
          <w:headerReference w:type="default" r:id="rId29"/>
          <w:footerReference w:type="default" r:id="rId30"/>
          <w:pgSz w:w="11900" w:h="16840"/>
          <w:pgMar w:header="622" w:footer="520" w:top="3040" w:bottom="720" w:left="500" w:right="440"/>
          <w:pgNumType w:start="13"/>
        </w:sectPr>
      </w:pPr>
    </w:p>
    <w:p>
      <w:pPr>
        <w:pStyle w:val="BodyText"/>
        <w:spacing w:before="6"/>
        <w:rPr>
          <w:sz w:val="16"/>
        </w:rPr>
      </w:pPr>
      <w:r>
        <w:rPr/>
        <w:pict>
          <v:shape style="position:absolute;margin-left:576.757813pt;margin-top:415.914032pt;width:10.95pt;height:387.1pt;mso-position-horizontal-relative:page;mso-position-vertical-relative:page;z-index:251685888" type="#_x0000_t202" filled="false" stroked="false">
            <v:textbox inset="0,0,0,0" style="layout-flow:vertical;mso-layout-flow-alt:bottom-to-top">
              <w:txbxContent>
                <w:p>
                  <w:pPr>
                    <w:spacing w:before="14"/>
                    <w:ind w:left="20" w:right="0" w:firstLine="0"/>
                    <w:jc w:val="left"/>
                    <w:rPr>
                      <w:sz w:val="16"/>
                    </w:rPr>
                  </w:pPr>
                  <w:r>
                    <w:rPr>
                      <w:color w:val="A9A9A9"/>
                      <w:sz w:val="16"/>
                    </w:rPr>
                    <w:t>Este documento foi assinado via DocFlow por José Augusto Pereira de Carvalho e Valmor Barbosa Bezerra</w:t>
                  </w:r>
                </w:p>
              </w:txbxContent>
            </v:textbox>
            <w10:wrap type="none"/>
          </v:shape>
        </w:pict>
      </w:r>
    </w:p>
    <w:p>
      <w:pPr>
        <w:pStyle w:val="ListParagraph"/>
        <w:numPr>
          <w:ilvl w:val="1"/>
          <w:numId w:val="18"/>
        </w:numPr>
        <w:tabs>
          <w:tab w:pos="2106" w:val="left" w:leader="none"/>
        </w:tabs>
        <w:spacing w:line="240" w:lineRule="auto" w:before="93" w:after="0"/>
        <w:ind w:left="635" w:right="180" w:firstLine="856"/>
        <w:jc w:val="both"/>
        <w:rPr>
          <w:sz w:val="24"/>
        </w:rPr>
      </w:pPr>
      <w:r>
        <w:rPr>
          <w:sz w:val="24"/>
        </w:rPr>
        <w:t>Para garantir acessibilidade ao conteúdo das publicações, todo material produzido deverá apresentar os seguintes</w:t>
      </w:r>
      <w:r>
        <w:rPr>
          <w:spacing w:val="-5"/>
          <w:sz w:val="24"/>
        </w:rPr>
        <w:t> </w:t>
      </w:r>
      <w:r>
        <w:rPr>
          <w:sz w:val="24"/>
        </w:rPr>
        <w:t>dispositivos:</w:t>
      </w:r>
    </w:p>
    <w:p>
      <w:pPr>
        <w:pStyle w:val="BodyText"/>
      </w:pPr>
    </w:p>
    <w:p>
      <w:pPr>
        <w:pStyle w:val="BodyText"/>
        <w:tabs>
          <w:tab w:pos="2357" w:val="left" w:leader="none"/>
          <w:tab w:pos="5697" w:val="left" w:leader="none"/>
          <w:tab w:pos="7918" w:val="left" w:leader="none"/>
        </w:tabs>
        <w:ind w:left="2046" w:right="220"/>
      </w:pPr>
      <w:r>
        <w:rPr>
          <w:b/>
        </w:rPr>
        <w:t>I</w:t>
        <w:tab/>
        <w:t>-  </w:t>
      </w:r>
      <w:r>
        <w:rPr/>
        <w:t>toda  obra</w:t>
      </w:r>
      <w:r>
        <w:rPr>
          <w:spacing w:val="32"/>
        </w:rPr>
        <w:t> </w:t>
      </w:r>
      <w:r>
        <w:rPr/>
        <w:t>impressa</w:t>
      </w:r>
      <w:r>
        <w:rPr>
          <w:spacing w:val="54"/>
        </w:rPr>
        <w:t> </w:t>
      </w:r>
      <w:r>
        <w:rPr/>
        <w:t>dever</w:t>
        <w:tab/>
        <w:t>ser</w:t>
      </w:r>
      <w:r>
        <w:rPr>
          <w:spacing w:val="53"/>
        </w:rPr>
        <w:t> </w:t>
      </w:r>
      <w:r>
        <w:rPr/>
        <w:t>acompanhada</w:t>
        <w:tab/>
        <w:t>de mídia digital acessível contendo, ao menos, um formato de texto com descrição das</w:t>
      </w:r>
      <w:r>
        <w:rPr>
          <w:spacing w:val="-8"/>
        </w:rPr>
        <w:t> </w:t>
      </w:r>
      <w:r>
        <w:rPr/>
        <w:t>imagens;</w:t>
      </w:r>
    </w:p>
    <w:p>
      <w:pPr>
        <w:pStyle w:val="BodyText"/>
        <w:ind w:left="2046"/>
      </w:pPr>
      <w:r>
        <w:rPr>
          <w:b/>
        </w:rPr>
        <w:t>Il - </w:t>
      </w:r>
      <w:r>
        <w:rPr/>
        <w:t>a impressão em Braille poderá ser exigida a depender da tiragem, plano de distribuição previsto no projeto aprovado e análise da SEDETEC;</w:t>
      </w:r>
    </w:p>
    <w:p>
      <w:pPr>
        <w:pStyle w:val="BodyText"/>
        <w:ind w:left="2046"/>
      </w:pPr>
      <w:r>
        <w:rPr>
          <w:b/>
        </w:rPr>
        <w:t>IlI - </w:t>
      </w:r>
      <w:r>
        <w:rPr/>
        <w:t>no caso de obra audiovisual, serão exigidos, no mínimo, legenda, janela com intérprete de libras, áudio descrição e menu com áudio; e</w:t>
      </w:r>
    </w:p>
    <w:p>
      <w:pPr>
        <w:pStyle w:val="BodyText"/>
        <w:ind w:left="2046"/>
      </w:pPr>
      <w:r>
        <w:rPr>
          <w:b/>
        </w:rPr>
        <w:t>IV - </w:t>
      </w:r>
      <w:r>
        <w:rPr/>
        <w:t>no caso de obra de áudio, deverá ser disponibilizada a transcrição em texto.</w:t>
      </w:r>
    </w:p>
    <w:p>
      <w:pPr>
        <w:pStyle w:val="BodyText"/>
      </w:pPr>
    </w:p>
    <w:p>
      <w:pPr>
        <w:pStyle w:val="ListParagraph"/>
        <w:numPr>
          <w:ilvl w:val="1"/>
          <w:numId w:val="18"/>
        </w:numPr>
        <w:tabs>
          <w:tab w:pos="2108" w:val="left" w:leader="none"/>
        </w:tabs>
        <w:spacing w:line="240" w:lineRule="auto" w:before="0" w:after="0"/>
        <w:ind w:left="635" w:right="177" w:firstLine="856"/>
        <w:jc w:val="both"/>
        <w:rPr>
          <w:sz w:val="24"/>
        </w:rPr>
      </w:pPr>
      <w:r>
        <w:rPr>
          <w:spacing w:val="-7"/>
          <w:sz w:val="24"/>
        </w:rPr>
        <w:t>Todo </w:t>
      </w:r>
      <w:r>
        <w:rPr>
          <w:sz w:val="24"/>
        </w:rPr>
        <w:t>e qualquer material a ser produzido para impressão e/ou divulgação deverá ser submetido à análise e aprovação prévia da </w:t>
      </w:r>
      <w:r>
        <w:rPr>
          <w:b/>
          <w:sz w:val="24"/>
        </w:rPr>
        <w:t>SEDETEC</w:t>
      </w:r>
      <w:r>
        <w:rPr>
          <w:sz w:val="24"/>
        </w:rPr>
        <w:t>, com antecedência mínima de 60 (sessenta) dias, e, após sua publicação, deverá ser destinado 5% (cinco por cento) das edições à</w:t>
      </w:r>
      <w:r>
        <w:rPr>
          <w:spacing w:val="-2"/>
          <w:sz w:val="24"/>
        </w:rPr>
        <w:t> </w:t>
      </w:r>
      <w:r>
        <w:rPr>
          <w:b/>
          <w:sz w:val="24"/>
        </w:rPr>
        <w:t>SEDETEC</w:t>
      </w:r>
      <w:r>
        <w:rPr>
          <w:sz w:val="24"/>
        </w:rPr>
        <w:t>.</w:t>
      </w:r>
    </w:p>
    <w:p>
      <w:pPr>
        <w:pStyle w:val="BodyText"/>
      </w:pPr>
    </w:p>
    <w:p>
      <w:pPr>
        <w:pStyle w:val="Heading2"/>
        <w:rPr>
          <w:u w:val="none"/>
        </w:rPr>
      </w:pPr>
      <w:r>
        <w:rPr>
          <w:u w:val="single"/>
        </w:rPr>
        <w:t>CLÁUSULA DÉCIMA SEXTA- DOS BENS REMANESCENTES</w:t>
      </w:r>
    </w:p>
    <w:p>
      <w:pPr>
        <w:pStyle w:val="BodyText"/>
        <w:rPr>
          <w:b/>
          <w:sz w:val="16"/>
        </w:rPr>
      </w:pPr>
    </w:p>
    <w:p>
      <w:pPr>
        <w:pStyle w:val="ListParagraph"/>
        <w:numPr>
          <w:ilvl w:val="1"/>
          <w:numId w:val="19"/>
        </w:numPr>
        <w:tabs>
          <w:tab w:pos="2108" w:val="left" w:leader="none"/>
        </w:tabs>
        <w:spacing w:line="240" w:lineRule="auto" w:before="92" w:after="0"/>
        <w:ind w:left="635" w:right="178" w:firstLine="856"/>
        <w:jc w:val="both"/>
        <w:rPr>
          <w:sz w:val="24"/>
        </w:rPr>
      </w:pPr>
      <w:r>
        <w:rPr>
          <w:sz w:val="24"/>
        </w:rPr>
        <w:t>Os bens remanescentes na data da conclusão ou extinção do presente </w:t>
      </w:r>
      <w:r>
        <w:rPr>
          <w:spacing w:val="-6"/>
          <w:sz w:val="24"/>
        </w:rPr>
        <w:t>Termo </w:t>
      </w:r>
      <w:r>
        <w:rPr>
          <w:sz w:val="24"/>
        </w:rPr>
        <w:t>de Fomento, e que, em razão deste, tenham sido adquiridos, produzidos, transformados ou construídos serão de propriedade do </w:t>
      </w:r>
      <w:r>
        <w:rPr>
          <w:b/>
          <w:sz w:val="24"/>
        </w:rPr>
        <w:t>PROPONENTE</w:t>
      </w:r>
      <w:r>
        <w:rPr>
          <w:sz w:val="24"/>
        </w:rPr>
        <w:t>, não sendo permitida sua utilização em qualquer outra ação que não esteja dentro do escopo do objeto</w:t>
      </w:r>
      <w:r>
        <w:rPr>
          <w:spacing w:val="-8"/>
          <w:sz w:val="24"/>
        </w:rPr>
        <w:t> </w:t>
      </w:r>
      <w:r>
        <w:rPr>
          <w:sz w:val="24"/>
        </w:rPr>
        <w:t>pactuado.</w:t>
      </w:r>
    </w:p>
    <w:p>
      <w:pPr>
        <w:pStyle w:val="BodyText"/>
      </w:pPr>
    </w:p>
    <w:p>
      <w:pPr>
        <w:pStyle w:val="ListParagraph"/>
        <w:numPr>
          <w:ilvl w:val="1"/>
          <w:numId w:val="19"/>
        </w:numPr>
        <w:tabs>
          <w:tab w:pos="2200" w:val="left" w:leader="none"/>
        </w:tabs>
        <w:spacing w:line="240" w:lineRule="auto" w:before="0" w:after="0"/>
        <w:ind w:left="635" w:right="187" w:firstLine="856"/>
        <w:jc w:val="both"/>
        <w:rPr>
          <w:sz w:val="24"/>
        </w:rPr>
      </w:pPr>
      <w:r>
        <w:rPr>
          <w:sz w:val="24"/>
        </w:rPr>
        <w:t>Caso a prestação de contas final seja rejeitada, a titularidade dos bens remanescentes permanecerá com o </w:t>
      </w:r>
      <w:r>
        <w:rPr>
          <w:b/>
          <w:sz w:val="24"/>
        </w:rPr>
        <w:t>PROPONENTE</w:t>
      </w:r>
      <w:r>
        <w:rPr>
          <w:sz w:val="24"/>
        </w:rPr>
        <w:t>, observados os seguintes</w:t>
      </w:r>
      <w:r>
        <w:rPr>
          <w:spacing w:val="-24"/>
          <w:sz w:val="24"/>
        </w:rPr>
        <w:t> </w:t>
      </w:r>
      <w:r>
        <w:rPr>
          <w:sz w:val="24"/>
        </w:rPr>
        <w:t>procedimentos:</w:t>
      </w:r>
    </w:p>
    <w:p>
      <w:pPr>
        <w:pStyle w:val="BodyText"/>
      </w:pPr>
    </w:p>
    <w:p>
      <w:pPr>
        <w:pStyle w:val="BodyText"/>
        <w:ind w:left="2046" w:right="180"/>
        <w:jc w:val="both"/>
      </w:pPr>
      <w:r>
        <w:rPr>
          <w:b/>
        </w:rPr>
        <w:t>I - </w:t>
      </w:r>
      <w:r>
        <w:rPr/>
        <w:t>não será exigido ressarcimento do valor relativo ao bem adquirido quando a motivação da rejeição não estiver relacionada ao seu uso ou aquisição; ou</w:t>
      </w:r>
    </w:p>
    <w:p>
      <w:pPr>
        <w:pStyle w:val="BodyText"/>
        <w:ind w:left="2046" w:right="180"/>
        <w:jc w:val="both"/>
      </w:pPr>
      <w:r>
        <w:rPr>
          <w:b/>
        </w:rPr>
        <w:t>lI - </w:t>
      </w:r>
      <w:r>
        <w:rPr/>
        <w:t>o valor pelo qual o bem remanescente foi adquirido deverá ser computado no cálculo do dano ao erário a ser ressarcido, quando a motivação da rejeição estiver relacionada ao seu uso ou</w:t>
      </w:r>
      <w:r>
        <w:rPr>
          <w:spacing w:val="-4"/>
        </w:rPr>
        <w:t> </w:t>
      </w:r>
      <w:r>
        <w:rPr/>
        <w:t>aquisição.</w:t>
      </w:r>
    </w:p>
    <w:p>
      <w:pPr>
        <w:pStyle w:val="BodyText"/>
      </w:pPr>
    </w:p>
    <w:p>
      <w:pPr>
        <w:pStyle w:val="ListParagraph"/>
        <w:numPr>
          <w:ilvl w:val="1"/>
          <w:numId w:val="19"/>
        </w:numPr>
        <w:tabs>
          <w:tab w:pos="2144" w:val="left" w:leader="none"/>
        </w:tabs>
        <w:spacing w:line="240" w:lineRule="auto" w:before="0" w:after="0"/>
        <w:ind w:left="635" w:right="181" w:firstLine="856"/>
        <w:jc w:val="both"/>
        <w:rPr>
          <w:sz w:val="24"/>
        </w:rPr>
      </w:pPr>
      <w:r>
        <w:rPr>
          <w:sz w:val="24"/>
        </w:rPr>
        <w:t>Na hipótese de dissolução do presente termo durante a sua vigência, o valor pelo qual os bens remanescentes foram adquiridos deverá ser computado no cálculo do valor a ser</w:t>
      </w:r>
      <w:r>
        <w:rPr>
          <w:spacing w:val="-3"/>
          <w:sz w:val="24"/>
        </w:rPr>
        <w:t> </w:t>
      </w:r>
      <w:r>
        <w:rPr>
          <w:sz w:val="24"/>
        </w:rPr>
        <w:t>ressarcido.</w:t>
      </w:r>
    </w:p>
    <w:p>
      <w:pPr>
        <w:pStyle w:val="BodyText"/>
      </w:pPr>
    </w:p>
    <w:p>
      <w:pPr>
        <w:pStyle w:val="Heading2"/>
        <w:spacing w:before="1"/>
        <w:rPr>
          <w:u w:val="none"/>
        </w:rPr>
      </w:pPr>
      <w:r>
        <w:rPr>
          <w:u w:val="single"/>
        </w:rPr>
        <w:t>CLÁUSULA DÉCIMA SÉTIMA - DA DIVULGAÇÃO</w:t>
      </w:r>
    </w:p>
    <w:p>
      <w:pPr>
        <w:pStyle w:val="BodyText"/>
        <w:spacing w:before="11"/>
        <w:rPr>
          <w:b/>
          <w:sz w:val="15"/>
        </w:rPr>
      </w:pPr>
    </w:p>
    <w:p>
      <w:pPr>
        <w:pStyle w:val="BodyText"/>
        <w:spacing w:before="92"/>
        <w:ind w:left="635" w:right="176" w:firstLine="856"/>
        <w:jc w:val="both"/>
      </w:pPr>
      <w:r>
        <w:rPr>
          <w:b/>
        </w:rPr>
        <w:t>17.1) </w:t>
      </w:r>
      <w:r>
        <w:rPr/>
        <w:t>Em razão do presente Termo de Fomento, o </w:t>
      </w:r>
      <w:r>
        <w:rPr>
          <w:b/>
        </w:rPr>
        <w:t>PROPONENTE </w:t>
      </w:r>
      <w:r>
        <w:rPr/>
        <w:t>se obriga a mencionar em todos os seus atos de promoção e divulgação do projeto, objeto desta parceria, por qualquer meio ou forma, a participação do Governo do Estado e da SEDETEC, de acordo com o Manual de Identidade Visual do Governo do Estado.</w:t>
      </w:r>
    </w:p>
    <w:p>
      <w:pPr>
        <w:pStyle w:val="BodyText"/>
      </w:pPr>
    </w:p>
    <w:p>
      <w:pPr>
        <w:spacing w:before="0"/>
        <w:ind w:left="1492" w:right="0" w:firstLine="0"/>
        <w:jc w:val="left"/>
        <w:rPr>
          <w:sz w:val="24"/>
        </w:rPr>
      </w:pPr>
      <w:r>
        <w:rPr>
          <w:b/>
          <w:sz w:val="24"/>
        </w:rPr>
        <w:t>PARÁGRAFO ÚNICO. </w:t>
      </w:r>
      <w:r>
        <w:rPr>
          <w:sz w:val="24"/>
        </w:rPr>
        <w:t>A publicidade de todos os atos derivados do presente Termo de</w:t>
      </w:r>
    </w:p>
    <w:p>
      <w:pPr>
        <w:pStyle w:val="BodyText"/>
        <w:spacing w:before="10"/>
        <w:rPr>
          <w:sz w:val="28"/>
        </w:rPr>
      </w:pPr>
      <w:r>
        <w:rPr/>
        <w:pict>
          <v:shape style="position:absolute;margin-left:56.700001pt;margin-top:18.631201pt;width:510.3pt;height:.1pt;mso-position-horizontal-relative:page;mso-position-vertical-relative:paragraph;z-index:-251631616;mso-wrap-distance-left:0;mso-wrap-distance-right:0" coordorigin="1134,373" coordsize="10206,0" path="m1134,373l11340,373e" filled="false" stroked="true" strokeweight=".1pt" strokecolor="#000000">
            <v:path arrowok="t"/>
            <v:stroke dashstyle="solid"/>
            <w10:wrap type="topAndBottom"/>
          </v:shape>
        </w:pict>
      </w:r>
    </w:p>
    <w:p>
      <w:pPr>
        <w:spacing w:after="0"/>
        <w:rPr>
          <w:sz w:val="28"/>
        </w:rPr>
        <w:sectPr>
          <w:headerReference w:type="default" r:id="rId31"/>
          <w:footerReference w:type="default" r:id="rId32"/>
          <w:pgSz w:w="11900" w:h="16840"/>
          <w:pgMar w:header="622" w:footer="520" w:top="3040" w:bottom="720" w:left="500" w:right="440"/>
          <w:pgNumType w:start="14"/>
        </w:sectPr>
      </w:pPr>
    </w:p>
    <w:p>
      <w:pPr>
        <w:pStyle w:val="BodyText"/>
        <w:spacing w:before="6"/>
        <w:rPr>
          <w:sz w:val="16"/>
        </w:rPr>
      </w:pPr>
      <w:r>
        <w:rPr/>
        <w:pict>
          <v:shape style="position:absolute;margin-left:576.757813pt;margin-top:415.914032pt;width:10.95pt;height:387.1pt;mso-position-horizontal-relative:page;mso-position-vertical-relative:page;z-index:251689984" type="#_x0000_t202" filled="false" stroked="false">
            <v:textbox inset="0,0,0,0" style="layout-flow:vertical;mso-layout-flow-alt:bottom-to-top">
              <w:txbxContent>
                <w:p>
                  <w:pPr>
                    <w:spacing w:before="14"/>
                    <w:ind w:left="20" w:right="0" w:firstLine="0"/>
                    <w:jc w:val="left"/>
                    <w:rPr>
                      <w:sz w:val="16"/>
                    </w:rPr>
                  </w:pPr>
                  <w:r>
                    <w:rPr>
                      <w:color w:val="A9A9A9"/>
                      <w:sz w:val="16"/>
                    </w:rPr>
                    <w:t>Este documento foi assinado via DocFlow por José Augusto Pereira de Carvalho e Valmor Barbosa Bezerra</w:t>
                  </w:r>
                </w:p>
              </w:txbxContent>
            </v:textbox>
            <w10:wrap type="none"/>
          </v:shape>
        </w:pict>
      </w:r>
    </w:p>
    <w:p>
      <w:pPr>
        <w:pStyle w:val="BodyText"/>
        <w:spacing w:before="93"/>
        <w:ind w:left="635" w:right="179"/>
        <w:jc w:val="both"/>
      </w:pPr>
      <w:r>
        <w:rPr/>
        <w:t>Fomento deverá ter caráter exclusivamente educativo, informativo ou de orientação social, dela não podendo constar nomes, símbolos ou imagens que caracterizem promoção pessoal de autoridades ou servidores</w:t>
      </w:r>
      <w:r>
        <w:rPr>
          <w:spacing w:val="1"/>
        </w:rPr>
        <w:t> </w:t>
      </w:r>
      <w:r>
        <w:rPr/>
        <w:t>públicos.</w:t>
      </w:r>
    </w:p>
    <w:p>
      <w:pPr>
        <w:pStyle w:val="BodyText"/>
      </w:pPr>
    </w:p>
    <w:p>
      <w:pPr>
        <w:pStyle w:val="Heading2"/>
        <w:jc w:val="both"/>
        <w:rPr>
          <w:u w:val="none"/>
        </w:rPr>
      </w:pPr>
      <w:r>
        <w:rPr>
          <w:u w:val="single"/>
        </w:rPr>
        <w:t>CLÁUSULA DÉCIMA OITAVA - DA PUBLICAÇÃO</w:t>
      </w:r>
    </w:p>
    <w:p>
      <w:pPr>
        <w:pStyle w:val="BodyText"/>
        <w:spacing w:before="11"/>
        <w:rPr>
          <w:b/>
          <w:sz w:val="15"/>
        </w:rPr>
      </w:pPr>
    </w:p>
    <w:p>
      <w:pPr>
        <w:pStyle w:val="BodyText"/>
        <w:spacing w:before="92"/>
        <w:ind w:left="635" w:right="185" w:firstLine="856"/>
        <w:jc w:val="both"/>
      </w:pPr>
      <w:r>
        <w:rPr>
          <w:b/>
        </w:rPr>
        <w:t>18.1) </w:t>
      </w:r>
      <w:r>
        <w:rPr/>
        <w:t>A eficácia do presente </w:t>
      </w:r>
      <w:r>
        <w:rPr>
          <w:spacing w:val="-6"/>
        </w:rPr>
        <w:t>Termo </w:t>
      </w:r>
      <w:r>
        <w:rPr/>
        <w:t>de Fomento ou dos aditamentos que impliquem em alteração de valor ou ampliação da execução do objeto descrito neste instrumento, fica condicionada à publicação do respectivo extrato no Diário Oficial do Estado, a qual deverá ser providenciada pela SEDETEC no prazo de até 20 (vinte) dias a contar da respectiva assinatura.</w:t>
      </w:r>
    </w:p>
    <w:p>
      <w:pPr>
        <w:pStyle w:val="BodyText"/>
      </w:pPr>
    </w:p>
    <w:p>
      <w:pPr>
        <w:pStyle w:val="Heading2"/>
        <w:rPr>
          <w:u w:val="none"/>
        </w:rPr>
      </w:pPr>
      <w:r>
        <w:rPr>
          <w:u w:val="single"/>
        </w:rPr>
        <w:t>CLÁUSULA DÉCIMA NONA - DO FORO</w:t>
      </w:r>
    </w:p>
    <w:p>
      <w:pPr>
        <w:pStyle w:val="BodyText"/>
        <w:rPr>
          <w:b/>
          <w:sz w:val="16"/>
        </w:rPr>
      </w:pPr>
    </w:p>
    <w:p>
      <w:pPr>
        <w:pStyle w:val="ListParagraph"/>
        <w:numPr>
          <w:ilvl w:val="1"/>
          <w:numId w:val="20"/>
        </w:numPr>
        <w:tabs>
          <w:tab w:pos="2200" w:val="left" w:leader="none"/>
        </w:tabs>
        <w:spacing w:line="240" w:lineRule="auto" w:before="93" w:after="0"/>
        <w:ind w:left="635" w:right="178" w:firstLine="856"/>
        <w:jc w:val="both"/>
        <w:rPr>
          <w:sz w:val="24"/>
        </w:rPr>
      </w:pPr>
      <w:r>
        <w:rPr>
          <w:sz w:val="24"/>
        </w:rPr>
        <w:t>Os parceiros procurarão resolver administrativamente eventuais dúvidas e controvérsias decorrentes do presente ajuste. Não logrando êxito a solução administrativa, será competente para dirimir as questões decorrentes deste </w:t>
      </w:r>
      <w:r>
        <w:rPr>
          <w:spacing w:val="-6"/>
          <w:sz w:val="24"/>
        </w:rPr>
        <w:t>Termo </w:t>
      </w:r>
      <w:r>
        <w:rPr>
          <w:sz w:val="24"/>
        </w:rPr>
        <w:t>de Fomento o foro da Justiça</w:t>
      </w:r>
      <w:r>
        <w:rPr>
          <w:spacing w:val="-2"/>
          <w:sz w:val="24"/>
        </w:rPr>
        <w:t> </w:t>
      </w:r>
      <w:r>
        <w:rPr>
          <w:sz w:val="24"/>
        </w:rPr>
        <w:t>Estadual.</w:t>
      </w:r>
    </w:p>
    <w:p>
      <w:pPr>
        <w:pStyle w:val="BodyText"/>
        <w:spacing w:before="11"/>
        <w:rPr>
          <w:sz w:val="23"/>
        </w:rPr>
      </w:pPr>
    </w:p>
    <w:p>
      <w:pPr>
        <w:pStyle w:val="ListParagraph"/>
        <w:numPr>
          <w:ilvl w:val="1"/>
          <w:numId w:val="20"/>
        </w:numPr>
        <w:tabs>
          <w:tab w:pos="2124" w:val="left" w:leader="none"/>
        </w:tabs>
        <w:spacing w:line="240" w:lineRule="auto" w:before="0" w:after="0"/>
        <w:ind w:left="635" w:right="177" w:firstLine="856"/>
        <w:jc w:val="both"/>
        <w:rPr>
          <w:sz w:val="24"/>
        </w:rPr>
      </w:pPr>
      <w:r>
        <w:rPr>
          <w:sz w:val="24"/>
        </w:rPr>
        <w:t>E, por assim estarem plenamente de acordo os parceiros obrigam-se ao total e irrenunciável cumprimento dos termos no presente instrumento, o qual lido e achado conforme, que vão assinadas pelos Parceiros, para que produza seus jurídicos e legais efeitos, em Juízo ou fora</w:t>
      </w:r>
      <w:r>
        <w:rPr>
          <w:spacing w:val="-3"/>
          <w:sz w:val="24"/>
        </w:rPr>
        <w:t> </w:t>
      </w:r>
      <w:r>
        <w:rPr>
          <w:sz w:val="24"/>
        </w:rPr>
        <w:t>dele.</w:t>
      </w:r>
    </w:p>
    <w:p>
      <w:pPr>
        <w:pStyle w:val="BodyText"/>
      </w:pPr>
    </w:p>
    <w:p>
      <w:pPr>
        <w:pStyle w:val="BodyText"/>
        <w:ind w:left="599" w:right="81"/>
        <w:jc w:val="center"/>
      </w:pPr>
      <w:r>
        <w:rPr/>
        <w:t>Aracaju, 22 de novembro de 2024</w:t>
      </w:r>
    </w:p>
    <w:p>
      <w:pPr>
        <w:pStyle w:val="BodyText"/>
        <w:rPr>
          <w:sz w:val="20"/>
        </w:rPr>
      </w:pPr>
    </w:p>
    <w:p>
      <w:pPr>
        <w:pStyle w:val="BodyText"/>
        <w:spacing w:before="8"/>
      </w:pPr>
      <w:r>
        <w:rPr/>
        <w:drawing>
          <wp:anchor distT="0" distB="0" distL="0" distR="0" allowOverlap="1" layoutInCell="1" locked="0" behindDoc="0" simplePos="0" relativeHeight="28">
            <wp:simplePos x="0" y="0"/>
            <wp:positionH relativeFrom="page">
              <wp:posOffset>2379979</wp:posOffset>
            </wp:positionH>
            <wp:positionV relativeFrom="paragraph">
              <wp:posOffset>205547</wp:posOffset>
            </wp:positionV>
            <wp:extent cx="3200399" cy="533400"/>
            <wp:effectExtent l="0" t="0" r="0" b="0"/>
            <wp:wrapTopAndBottom/>
            <wp:docPr id="31" name="image2.jpeg"/>
            <wp:cNvGraphicFramePr>
              <a:graphicFrameLocks noChangeAspect="1"/>
            </wp:cNvGraphicFramePr>
            <a:graphic>
              <a:graphicData uri="http://schemas.openxmlformats.org/drawingml/2006/picture">
                <pic:pic>
                  <pic:nvPicPr>
                    <pic:cNvPr id="32" name="image2.jpeg"/>
                    <pic:cNvPicPr/>
                  </pic:nvPicPr>
                  <pic:blipFill>
                    <a:blip r:embed="rId35" cstate="print"/>
                    <a:stretch>
                      <a:fillRect/>
                    </a:stretch>
                  </pic:blipFill>
                  <pic:spPr>
                    <a:xfrm>
                      <a:off x="0" y="0"/>
                      <a:ext cx="3200399" cy="533400"/>
                    </a:xfrm>
                    <a:prstGeom prst="rect">
                      <a:avLst/>
                    </a:prstGeom>
                  </pic:spPr>
                </pic:pic>
              </a:graphicData>
            </a:graphic>
          </wp:anchor>
        </w:drawing>
      </w:r>
    </w:p>
    <w:p>
      <w:pPr>
        <w:pStyle w:val="BodyText"/>
        <w:spacing w:before="4"/>
        <w:rPr>
          <w:sz w:val="13"/>
        </w:rPr>
      </w:pPr>
    </w:p>
    <w:p>
      <w:pPr>
        <w:pStyle w:val="BodyText"/>
        <w:spacing w:before="92"/>
        <w:ind w:left="4409" w:right="3890"/>
        <w:jc w:val="center"/>
      </w:pPr>
      <w:r>
        <w:rPr/>
        <w:t>Valmor Barbosa Bezerra Secretário(a) de Estado</w:t>
      </w:r>
    </w:p>
    <w:p>
      <w:pPr>
        <w:pStyle w:val="BodyText"/>
        <w:rPr>
          <w:sz w:val="20"/>
        </w:rPr>
      </w:pPr>
    </w:p>
    <w:p>
      <w:pPr>
        <w:pStyle w:val="BodyText"/>
        <w:spacing w:before="8"/>
      </w:pPr>
      <w:r>
        <w:rPr/>
        <w:drawing>
          <wp:anchor distT="0" distB="0" distL="0" distR="0" allowOverlap="1" layoutInCell="1" locked="0" behindDoc="0" simplePos="0" relativeHeight="29">
            <wp:simplePos x="0" y="0"/>
            <wp:positionH relativeFrom="page">
              <wp:posOffset>2379979</wp:posOffset>
            </wp:positionH>
            <wp:positionV relativeFrom="paragraph">
              <wp:posOffset>205472</wp:posOffset>
            </wp:positionV>
            <wp:extent cx="3200399" cy="533400"/>
            <wp:effectExtent l="0" t="0" r="0" b="0"/>
            <wp:wrapTopAndBottom/>
            <wp:docPr id="33" name="image2.jpeg"/>
            <wp:cNvGraphicFramePr>
              <a:graphicFrameLocks noChangeAspect="1"/>
            </wp:cNvGraphicFramePr>
            <a:graphic>
              <a:graphicData uri="http://schemas.openxmlformats.org/drawingml/2006/picture">
                <pic:pic>
                  <pic:nvPicPr>
                    <pic:cNvPr id="34" name="image2.jpeg"/>
                    <pic:cNvPicPr/>
                  </pic:nvPicPr>
                  <pic:blipFill>
                    <a:blip r:embed="rId35" cstate="print"/>
                    <a:stretch>
                      <a:fillRect/>
                    </a:stretch>
                  </pic:blipFill>
                  <pic:spPr>
                    <a:xfrm>
                      <a:off x="0" y="0"/>
                      <a:ext cx="3200399" cy="533400"/>
                    </a:xfrm>
                    <a:prstGeom prst="rect">
                      <a:avLst/>
                    </a:prstGeom>
                  </pic:spPr>
                </pic:pic>
              </a:graphicData>
            </a:graphic>
          </wp:anchor>
        </w:drawing>
      </w:r>
    </w:p>
    <w:p>
      <w:pPr>
        <w:pStyle w:val="BodyText"/>
        <w:spacing w:before="4"/>
        <w:rPr>
          <w:sz w:val="13"/>
        </w:rPr>
      </w:pPr>
    </w:p>
    <w:p>
      <w:pPr>
        <w:pStyle w:val="BodyText"/>
        <w:spacing w:before="92"/>
        <w:ind w:left="4626" w:right="2427" w:hanging="742"/>
      </w:pPr>
      <w:r>
        <w:rPr/>
        <w:t>José Augusto Pereira de Carvalho Diretor(a) Presidente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8"/>
        </w:rPr>
      </w:pPr>
      <w:r>
        <w:rPr/>
        <w:pict>
          <v:shape style="position:absolute;margin-left:56.700001pt;margin-top:12.831884pt;width:510.3pt;height:.1pt;mso-position-horizontal-relative:page;mso-position-vertical-relative:paragraph;z-index:-251627520;mso-wrap-distance-left:0;mso-wrap-distance-right:0" coordorigin="1134,257" coordsize="10206,0" path="m1134,257l11340,257e" filled="false" stroked="true" strokeweight=".1pt" strokecolor="#000000">
            <v:path arrowok="t"/>
            <v:stroke dashstyle="solid"/>
            <w10:wrap type="topAndBottom"/>
          </v:shape>
        </w:pict>
      </w:r>
    </w:p>
    <w:p>
      <w:pPr>
        <w:spacing w:after="0"/>
        <w:rPr>
          <w:sz w:val="18"/>
        </w:rPr>
        <w:sectPr>
          <w:headerReference w:type="default" r:id="rId33"/>
          <w:footerReference w:type="default" r:id="rId34"/>
          <w:pgSz w:w="11900" w:h="16840"/>
          <w:pgMar w:header="622" w:footer="520" w:top="3040" w:bottom="720" w:left="500" w:right="440"/>
          <w:pgNumType w:start="15"/>
        </w:sectPr>
      </w:pPr>
    </w:p>
    <w:p>
      <w:pPr>
        <w:pStyle w:val="Heading1"/>
      </w:pPr>
      <w:r>
        <w:rPr/>
        <w:t>Protocolo de Assinatura(s)</w:t>
      </w:r>
    </w:p>
    <w:p>
      <w:pPr>
        <w:pStyle w:val="BodyText"/>
        <w:spacing w:line="278" w:lineRule="auto" w:before="127"/>
        <w:ind w:left="100" w:right="220"/>
      </w:pPr>
      <w:r>
        <w:rPr/>
        <w:t>O documento acima foi proposto para assinatura digital. Para verificar as assinaturas acesse o </w:t>
      </w:r>
      <w:hyperlink r:id="rId38">
        <w:r>
          <w:rPr/>
          <w:t>endereço http://edocsergipe.se.gov.br/consultacodigo</w:t>
        </w:r>
      </w:hyperlink>
      <w:r>
        <w:rPr/>
        <w:t> e utilize o código abaixo para verificar se este documento é válido.</w:t>
      </w:r>
    </w:p>
    <w:p>
      <w:pPr>
        <w:pStyle w:val="Heading1"/>
        <w:spacing w:before="174"/>
      </w:pPr>
      <w:r>
        <w:rPr/>
        <w:t>Código de verificação: KLCS-8ZU1-HMDF-8E5R</w:t>
      </w:r>
    </w:p>
    <w:p>
      <w:pPr>
        <w:pStyle w:val="BodyText"/>
        <w:rPr>
          <w:sz w:val="20"/>
        </w:rPr>
      </w:pPr>
    </w:p>
    <w:p>
      <w:pPr>
        <w:pStyle w:val="BodyText"/>
        <w:spacing w:before="8"/>
        <w:rPr>
          <w:sz w:val="18"/>
        </w:rPr>
      </w:pPr>
      <w:r>
        <w:rPr/>
        <w:drawing>
          <wp:anchor distT="0" distB="0" distL="0" distR="0" allowOverlap="1" layoutInCell="1" locked="0" behindDoc="0" simplePos="0" relativeHeight="32">
            <wp:simplePos x="0" y="0"/>
            <wp:positionH relativeFrom="page">
              <wp:posOffset>3042920</wp:posOffset>
            </wp:positionH>
            <wp:positionV relativeFrom="paragraph">
              <wp:posOffset>161724</wp:posOffset>
            </wp:positionV>
            <wp:extent cx="1668780" cy="1668779"/>
            <wp:effectExtent l="0" t="0" r="0" b="0"/>
            <wp:wrapTopAndBottom/>
            <wp:docPr id="35" name="image3.png"/>
            <wp:cNvGraphicFramePr>
              <a:graphicFrameLocks noChangeAspect="1"/>
            </wp:cNvGraphicFramePr>
            <a:graphic>
              <a:graphicData uri="http://schemas.openxmlformats.org/drawingml/2006/picture">
                <pic:pic>
                  <pic:nvPicPr>
                    <pic:cNvPr id="36" name="image3.png"/>
                    <pic:cNvPicPr/>
                  </pic:nvPicPr>
                  <pic:blipFill>
                    <a:blip r:embed="rId39" cstate="print"/>
                    <a:stretch>
                      <a:fillRect/>
                    </a:stretch>
                  </pic:blipFill>
                  <pic:spPr>
                    <a:xfrm>
                      <a:off x="0" y="0"/>
                      <a:ext cx="1668780" cy="1668779"/>
                    </a:xfrm>
                    <a:prstGeom prst="rect">
                      <a:avLst/>
                    </a:prstGeom>
                  </pic:spPr>
                </pic:pic>
              </a:graphicData>
            </a:graphic>
          </wp:anchor>
        </w:drawing>
      </w:r>
    </w:p>
    <w:p>
      <w:pPr>
        <w:pStyle w:val="BodyText"/>
        <w:spacing w:before="1"/>
        <w:rPr>
          <w:sz w:val="15"/>
        </w:rPr>
      </w:pPr>
    </w:p>
    <w:p>
      <w:pPr>
        <w:pStyle w:val="BodyText"/>
        <w:spacing w:before="92"/>
        <w:ind w:left="100"/>
      </w:pPr>
      <w:r>
        <w:rPr/>
        <w:t>O(s) nome(s) indicado(s) para assinatura, bem como seu(s) status em 17/12/2024 é(são) :</w:t>
      </w:r>
    </w:p>
    <w:p>
      <w:pPr>
        <w:tabs>
          <w:tab w:pos="1199" w:val="left" w:leader="none"/>
        </w:tabs>
        <w:spacing w:before="162"/>
        <w:ind w:left="100" w:right="0" w:firstLine="0"/>
        <w:jc w:val="left"/>
        <w:rPr>
          <w:sz w:val="20"/>
        </w:rPr>
      </w:pPr>
      <w:r>
        <w:rPr/>
        <w:drawing>
          <wp:anchor distT="0" distB="0" distL="0" distR="0" allowOverlap="1" layoutInCell="1" locked="0" behindDoc="1" simplePos="0" relativeHeight="250739712">
            <wp:simplePos x="0" y="0"/>
            <wp:positionH relativeFrom="page">
              <wp:posOffset>976312</wp:posOffset>
            </wp:positionH>
            <wp:positionV relativeFrom="paragraph">
              <wp:posOffset>144207</wp:posOffset>
            </wp:positionV>
            <wp:extent cx="71437" cy="79375"/>
            <wp:effectExtent l="0" t="0" r="0" b="0"/>
            <wp:wrapNone/>
            <wp:docPr id="37" name="image4.png"/>
            <wp:cNvGraphicFramePr>
              <a:graphicFrameLocks noChangeAspect="1"/>
            </wp:cNvGraphicFramePr>
            <a:graphic>
              <a:graphicData uri="http://schemas.openxmlformats.org/drawingml/2006/picture">
                <pic:pic>
                  <pic:nvPicPr>
                    <pic:cNvPr id="38" name="image4.png"/>
                    <pic:cNvPicPr/>
                  </pic:nvPicPr>
                  <pic:blipFill>
                    <a:blip r:embed="rId40" cstate="print"/>
                    <a:stretch>
                      <a:fillRect/>
                    </a:stretch>
                  </pic:blipFill>
                  <pic:spPr>
                    <a:xfrm>
                      <a:off x="0" y="0"/>
                      <a:ext cx="71437" cy="79375"/>
                    </a:xfrm>
                    <a:prstGeom prst="rect">
                      <a:avLst/>
                    </a:prstGeom>
                  </pic:spPr>
                </pic:pic>
              </a:graphicData>
            </a:graphic>
          </wp:anchor>
        </w:drawing>
      </w:r>
      <w:r>
        <w:rPr>
          <w:sz w:val="20"/>
        </w:rPr>
        <w:t>Legenda:</w:t>
        <w:tab/>
        <w:t>Aprovada   </w:t>
      </w:r>
      <w:r>
        <w:rPr>
          <w:spacing w:val="-23"/>
          <w:position w:val="-3"/>
          <w:sz w:val="20"/>
        </w:rPr>
        <w:drawing>
          <wp:inline distT="0" distB="0" distL="0" distR="0">
            <wp:extent cx="127000" cy="127000"/>
            <wp:effectExtent l="0" t="0" r="0" b="0"/>
            <wp:docPr id="39" name="image5.png"/>
            <wp:cNvGraphicFramePr>
              <a:graphicFrameLocks noChangeAspect="1"/>
            </wp:cNvGraphicFramePr>
            <a:graphic>
              <a:graphicData uri="http://schemas.openxmlformats.org/drawingml/2006/picture">
                <pic:pic>
                  <pic:nvPicPr>
                    <pic:cNvPr id="40" name="image5.png"/>
                    <pic:cNvPicPr/>
                  </pic:nvPicPr>
                  <pic:blipFill>
                    <a:blip r:embed="rId41" cstate="print"/>
                    <a:stretch>
                      <a:fillRect/>
                    </a:stretch>
                  </pic:blipFill>
                  <pic:spPr>
                    <a:xfrm>
                      <a:off x="0" y="0"/>
                      <a:ext cx="127000" cy="127000"/>
                    </a:xfrm>
                    <a:prstGeom prst="rect">
                      <a:avLst/>
                    </a:prstGeom>
                  </pic:spPr>
                </pic:pic>
              </a:graphicData>
            </a:graphic>
          </wp:inline>
        </w:drawing>
      </w:r>
      <w:r>
        <w:rPr>
          <w:spacing w:val="-23"/>
          <w:position w:val="-3"/>
          <w:sz w:val="20"/>
        </w:rPr>
      </w:r>
      <w:r>
        <w:rPr>
          <w:sz w:val="20"/>
        </w:rPr>
        <w:t>Indeterminada</w:t>
      </w:r>
      <w:r>
        <w:rPr>
          <w:spacing w:val="42"/>
          <w:sz w:val="20"/>
        </w:rPr>
        <w:t> </w:t>
      </w:r>
      <w:r>
        <w:rPr>
          <w:spacing w:val="10"/>
          <w:position w:val="-3"/>
          <w:sz w:val="20"/>
        </w:rPr>
        <w:drawing>
          <wp:inline distT="0" distB="0" distL="0" distR="0">
            <wp:extent cx="127000" cy="127000"/>
            <wp:effectExtent l="0" t="0" r="0" b="0"/>
            <wp:docPr id="41" name="image6.png"/>
            <wp:cNvGraphicFramePr>
              <a:graphicFrameLocks noChangeAspect="1"/>
            </wp:cNvGraphicFramePr>
            <a:graphic>
              <a:graphicData uri="http://schemas.openxmlformats.org/drawingml/2006/picture">
                <pic:pic>
                  <pic:nvPicPr>
                    <pic:cNvPr id="42" name="image6.png"/>
                    <pic:cNvPicPr/>
                  </pic:nvPicPr>
                  <pic:blipFill>
                    <a:blip r:embed="rId42" cstate="print"/>
                    <a:stretch>
                      <a:fillRect/>
                    </a:stretch>
                  </pic:blipFill>
                  <pic:spPr>
                    <a:xfrm>
                      <a:off x="0" y="0"/>
                      <a:ext cx="127000" cy="127000"/>
                    </a:xfrm>
                    <a:prstGeom prst="rect">
                      <a:avLst/>
                    </a:prstGeom>
                  </pic:spPr>
                </pic:pic>
              </a:graphicData>
            </a:graphic>
          </wp:inline>
        </w:drawing>
      </w:r>
      <w:r>
        <w:rPr>
          <w:spacing w:val="10"/>
          <w:position w:val="-3"/>
          <w:sz w:val="20"/>
        </w:rPr>
      </w:r>
      <w:r>
        <w:rPr>
          <w:sz w:val="20"/>
        </w:rPr>
        <w:t>Pendente</w:t>
      </w:r>
    </w:p>
    <w:p>
      <w:pPr>
        <w:pStyle w:val="BodyText"/>
        <w:spacing w:before="95"/>
        <w:ind w:left="400"/>
        <w:rPr>
          <w:sz w:val="28"/>
        </w:rPr>
      </w:pPr>
      <w:r>
        <w:rPr/>
        <w:drawing>
          <wp:anchor distT="0" distB="0" distL="0" distR="0" allowOverlap="1" layoutInCell="1" locked="0" behindDoc="0" simplePos="0" relativeHeight="251693056">
            <wp:simplePos x="0" y="0"/>
            <wp:positionH relativeFrom="page">
              <wp:posOffset>404812</wp:posOffset>
            </wp:positionH>
            <wp:positionV relativeFrom="paragraph">
              <wp:posOffset>123911</wp:posOffset>
            </wp:positionV>
            <wp:extent cx="71437" cy="79375"/>
            <wp:effectExtent l="0" t="0" r="0" b="0"/>
            <wp:wrapNone/>
            <wp:docPr id="43" name="image4.png"/>
            <wp:cNvGraphicFramePr>
              <a:graphicFrameLocks noChangeAspect="1"/>
            </wp:cNvGraphicFramePr>
            <a:graphic>
              <a:graphicData uri="http://schemas.openxmlformats.org/drawingml/2006/picture">
                <pic:pic>
                  <pic:nvPicPr>
                    <pic:cNvPr id="44" name="image4.png"/>
                    <pic:cNvPicPr/>
                  </pic:nvPicPr>
                  <pic:blipFill>
                    <a:blip r:embed="rId40" cstate="print"/>
                    <a:stretch>
                      <a:fillRect/>
                    </a:stretch>
                  </pic:blipFill>
                  <pic:spPr>
                    <a:xfrm>
                      <a:off x="0" y="0"/>
                      <a:ext cx="71437" cy="79375"/>
                    </a:xfrm>
                    <a:prstGeom prst="rect">
                      <a:avLst/>
                    </a:prstGeom>
                  </pic:spPr>
                </pic:pic>
              </a:graphicData>
            </a:graphic>
          </wp:anchor>
        </w:drawing>
      </w:r>
      <w:r>
        <w:rPr/>
        <w:t>José Augusto Pereira de Carvalho - 22/11/2024 10:27:41 </w:t>
      </w:r>
      <w:r>
        <w:rPr>
          <w:sz w:val="28"/>
        </w:rPr>
        <w:t>(Docflow)</w:t>
      </w:r>
    </w:p>
    <w:p>
      <w:pPr>
        <w:pStyle w:val="BodyText"/>
        <w:spacing w:before="78"/>
        <w:ind w:left="400"/>
        <w:rPr>
          <w:sz w:val="28"/>
        </w:rPr>
      </w:pPr>
      <w:r>
        <w:rPr/>
        <w:drawing>
          <wp:anchor distT="0" distB="0" distL="0" distR="0" allowOverlap="1" layoutInCell="1" locked="0" behindDoc="0" simplePos="0" relativeHeight="251694080">
            <wp:simplePos x="0" y="0"/>
            <wp:positionH relativeFrom="page">
              <wp:posOffset>404812</wp:posOffset>
            </wp:positionH>
            <wp:positionV relativeFrom="paragraph">
              <wp:posOffset>113116</wp:posOffset>
            </wp:positionV>
            <wp:extent cx="71437" cy="79375"/>
            <wp:effectExtent l="0" t="0" r="0" b="0"/>
            <wp:wrapNone/>
            <wp:docPr id="45" name="image4.png"/>
            <wp:cNvGraphicFramePr>
              <a:graphicFrameLocks noChangeAspect="1"/>
            </wp:cNvGraphicFramePr>
            <a:graphic>
              <a:graphicData uri="http://schemas.openxmlformats.org/drawingml/2006/picture">
                <pic:pic>
                  <pic:nvPicPr>
                    <pic:cNvPr id="46" name="image4.png"/>
                    <pic:cNvPicPr/>
                  </pic:nvPicPr>
                  <pic:blipFill>
                    <a:blip r:embed="rId40" cstate="print"/>
                    <a:stretch>
                      <a:fillRect/>
                    </a:stretch>
                  </pic:blipFill>
                  <pic:spPr>
                    <a:xfrm>
                      <a:off x="0" y="0"/>
                      <a:ext cx="71437" cy="79375"/>
                    </a:xfrm>
                    <a:prstGeom prst="rect">
                      <a:avLst/>
                    </a:prstGeom>
                  </pic:spPr>
                </pic:pic>
              </a:graphicData>
            </a:graphic>
          </wp:anchor>
        </w:drawing>
      </w:r>
      <w:r>
        <w:rPr/>
        <w:t>Valmor Barbosa Bezerra - 21/11/2024 13:51:33 </w:t>
      </w:r>
      <w:r>
        <w:rPr>
          <w:sz w:val="28"/>
        </w:rPr>
        <w:t>(Docflow)</w:t>
      </w:r>
    </w:p>
    <w:sectPr>
      <w:headerReference w:type="default" r:id="rId36"/>
      <w:footerReference w:type="default" r:id="rId37"/>
      <w:pgSz w:w="11900" w:h="16840"/>
      <w:pgMar w:header="0" w:footer="0" w:top="840" w:bottom="280" w:left="50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799999pt;margin-top:792.757813pt;width:510.25pt;height:21.15pt;mso-position-horizontal-relative:page;mso-position-vertical-relative:page;z-index:-252608512" type="#_x0000_t202" filled="false" stroked="false">
          <v:textbox inset="0,0,0,0">
            <w:txbxContent>
              <w:p>
                <w:pPr>
                  <w:spacing w:before="14"/>
                  <w:ind w:left="20" w:right="0" w:firstLine="0"/>
                  <w:jc w:val="left"/>
                  <w:rPr>
                    <w:i/>
                    <w:sz w:val="16"/>
                  </w:rPr>
                </w:pPr>
                <w:r>
                  <w:rPr>
                    <w:i/>
                    <w:sz w:val="16"/>
                  </w:rPr>
                  <w:t>Av. Empresário José Carlos Silva, 4.444, Bairro Inácio Barbosa - Aracaju/Sergipe, CEP: 49040-850</w:t>
                </w:r>
              </w:p>
              <w:p>
                <w:pPr>
                  <w:spacing w:before="20"/>
                  <w:ind w:left="5316" w:right="0" w:firstLine="0"/>
                  <w:jc w:val="left"/>
                  <w:rPr>
                    <w:i/>
                    <w:sz w:val="16"/>
                  </w:rPr>
                </w:pPr>
                <w:r>
                  <w:rPr>
                    <w:i/>
                    <w:sz w:val="16"/>
                  </w:rPr>
                  <w:t>E-Doc* - Documento Virtual válido conforme Decreto nº 40.394/2019</w:t>
                </w:r>
              </w:p>
            </w:txbxContent>
          </v:textbox>
          <w10:wrap type="none"/>
        </v:shape>
      </w:pict>
    </w:r>
    <w:r>
      <w:rPr/>
      <w:pict>
        <v:shape style="position:absolute;margin-left:9pt;margin-top:817.757813pt;width:492.5pt;height:19.95pt;mso-position-horizontal-relative:page;mso-position-vertical-relative:page;z-index:-252607488" type="#_x0000_t202" filled="false" stroked="false">
          <v:textbox inset="0,0,0,0">
            <w:txbxContent>
              <w:p>
                <w:pPr>
                  <w:spacing w:line="235" w:lineRule="auto" w:before="17"/>
                  <w:ind w:left="20" w:right="0" w:firstLine="0"/>
                  <w:jc w:val="left"/>
                  <w:rPr>
                    <w:sz w:val="16"/>
                  </w:rPr>
                </w:pPr>
                <w:hyperlink r:id="rId1">
                  <w:r>
                    <w:rPr>
                      <w:color w:val="A9A9A9"/>
                      <w:sz w:val="16"/>
                    </w:rPr>
                    <w:t>Documento assinado utilizando login/senha do sistema (DOCFLOW) Verificação em: http://edocsergipe.se.gov.br/consultacodigo.</w:t>
                  </w:r>
                </w:hyperlink>
                <w:r>
                  <w:rPr>
                    <w:color w:val="A9A9A9"/>
                    <w:sz w:val="16"/>
                  </w:rPr>
                  <w:t> Utilize o código: KLCS-8ZU1-HMDF-8E5R</w:t>
                </w:r>
              </w:p>
            </w:txbxContent>
          </v:textbox>
          <w10:wrap type="none"/>
        </v:shape>
      </w:pict>
    </w:r>
    <w:r>
      <w:rPr/>
      <w:pict>
        <v:shape style="position:absolute;margin-left:522.090027pt;margin-top:823.757813pt;width:55.85pt;height:10.95pt;mso-position-horizontal-relative:page;mso-position-vertical-relative:page;z-index:-252606464" type="#_x0000_t202" filled="false" stroked="false">
          <v:textbox inset="0,0,0,0">
            <w:txbxContent>
              <w:p>
                <w:pPr>
                  <w:spacing w:before="14"/>
                  <w:ind w:left="20" w:right="0" w:firstLine="0"/>
                  <w:jc w:val="left"/>
                  <w:rPr>
                    <w:sz w:val="16"/>
                  </w:rPr>
                </w:pPr>
                <w:r>
                  <w:rPr>
                    <w:color w:val="A9A9A9"/>
                    <w:sz w:val="16"/>
                  </w:rPr>
                  <w:t>Página 1 de 15</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799999pt;margin-top:792.757813pt;width:510.25pt;height:21.15pt;mso-position-horizontal-relative:page;mso-position-vertical-relative:page;z-index:-252562432" type="#_x0000_t202" filled="false" stroked="false">
          <v:textbox inset="0,0,0,0">
            <w:txbxContent>
              <w:p>
                <w:pPr>
                  <w:spacing w:before="14"/>
                  <w:ind w:left="20" w:right="0" w:firstLine="0"/>
                  <w:jc w:val="left"/>
                  <w:rPr>
                    <w:i/>
                    <w:sz w:val="16"/>
                  </w:rPr>
                </w:pPr>
                <w:r>
                  <w:rPr>
                    <w:i/>
                    <w:sz w:val="16"/>
                  </w:rPr>
                  <w:t>Av. Empresário José Carlos Silva, 4.444, Bairro Inácio Barbosa - Aracaju/Sergipe, CEP: 49040-850</w:t>
                </w:r>
              </w:p>
              <w:p>
                <w:pPr>
                  <w:spacing w:before="20"/>
                  <w:ind w:left="5316" w:right="0" w:firstLine="0"/>
                  <w:jc w:val="left"/>
                  <w:rPr>
                    <w:i/>
                    <w:sz w:val="16"/>
                  </w:rPr>
                </w:pPr>
                <w:r>
                  <w:rPr>
                    <w:i/>
                    <w:sz w:val="16"/>
                  </w:rPr>
                  <w:t>E-Doc* - Documento Virtual válido conforme Decreto nº 40.394/2019</w:t>
                </w:r>
              </w:p>
            </w:txbxContent>
          </v:textbox>
          <w10:wrap type="none"/>
        </v:shape>
      </w:pict>
    </w:r>
    <w:r>
      <w:rPr/>
      <w:pict>
        <v:shape style="position:absolute;margin-left:9pt;margin-top:817.757813pt;width:492.5pt;height:19.95pt;mso-position-horizontal-relative:page;mso-position-vertical-relative:page;z-index:-252561408" type="#_x0000_t202" filled="false" stroked="false">
          <v:textbox inset="0,0,0,0">
            <w:txbxContent>
              <w:p>
                <w:pPr>
                  <w:spacing w:line="235" w:lineRule="auto" w:before="17"/>
                  <w:ind w:left="20" w:right="0" w:firstLine="0"/>
                  <w:jc w:val="left"/>
                  <w:rPr>
                    <w:sz w:val="16"/>
                  </w:rPr>
                </w:pPr>
                <w:hyperlink r:id="rId1">
                  <w:r>
                    <w:rPr>
                      <w:color w:val="A9A9A9"/>
                      <w:sz w:val="16"/>
                    </w:rPr>
                    <w:t>Documento assinado utilizando login/senha do sistema (DOCFLOW) Verificação em: http://edocsergipe.se.gov.br/consultacodigo.</w:t>
                  </w:r>
                </w:hyperlink>
                <w:r>
                  <w:rPr>
                    <w:color w:val="A9A9A9"/>
                    <w:sz w:val="16"/>
                  </w:rPr>
                  <w:t> Utilize o código: KLCS-8ZU1-HMDF-8E5R</w:t>
                </w:r>
              </w:p>
            </w:txbxContent>
          </v:textbox>
          <w10:wrap type="none"/>
        </v:shape>
      </w:pict>
    </w:r>
    <w:r>
      <w:rPr/>
      <w:pict>
        <v:shape style="position:absolute;margin-left:519.869995pt;margin-top:823.757813pt;width:60.3pt;height:10.95pt;mso-position-horizontal-relative:page;mso-position-vertical-relative:page;z-index:-252560384" type="#_x0000_t202" filled="false" stroked="false">
          <v:textbox inset="0,0,0,0">
            <w:txbxContent>
              <w:p>
                <w:pPr>
                  <w:spacing w:before="14"/>
                  <w:ind w:left="20" w:right="0" w:firstLine="0"/>
                  <w:jc w:val="left"/>
                  <w:rPr>
                    <w:sz w:val="16"/>
                  </w:rPr>
                </w:pPr>
                <w:r>
                  <w:rPr>
                    <w:color w:val="A9A9A9"/>
                    <w:sz w:val="16"/>
                  </w:rPr>
                  <w:t>Página </w:t>
                </w:r>
                <w:r>
                  <w:rPr/>
                  <w:fldChar w:fldCharType="begin"/>
                </w:r>
                <w:r>
                  <w:rPr>
                    <w:color w:val="A9A9A9"/>
                    <w:sz w:val="16"/>
                  </w:rPr>
                  <w:instrText> PAGE </w:instrText>
                </w:r>
                <w:r>
                  <w:rPr/>
                  <w:fldChar w:fldCharType="separate"/>
                </w:r>
                <w:r>
                  <w:rPr/>
                  <w:t>10</w:t>
                </w:r>
                <w:r>
                  <w:rPr/>
                  <w:fldChar w:fldCharType="end"/>
                </w:r>
                <w:r>
                  <w:rPr>
                    <w:color w:val="A9A9A9"/>
                    <w:sz w:val="16"/>
                  </w:rPr>
                  <w:t> de 15</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799999pt;margin-top:792.757813pt;width:510.25pt;height:21.15pt;mso-position-horizontal-relative:page;mso-position-vertical-relative:page;z-index:-252557312" type="#_x0000_t202" filled="false" stroked="false">
          <v:textbox inset="0,0,0,0">
            <w:txbxContent>
              <w:p>
                <w:pPr>
                  <w:spacing w:before="14"/>
                  <w:ind w:left="20" w:right="0" w:firstLine="0"/>
                  <w:jc w:val="left"/>
                  <w:rPr>
                    <w:i/>
                    <w:sz w:val="16"/>
                  </w:rPr>
                </w:pPr>
                <w:r>
                  <w:rPr>
                    <w:i/>
                    <w:sz w:val="16"/>
                  </w:rPr>
                  <w:t>Av. Empresário José Carlos Silva, 4.444, Bairro Inácio Barbosa - Aracaju/Sergipe, CEP: 49040-850</w:t>
                </w:r>
              </w:p>
              <w:p>
                <w:pPr>
                  <w:spacing w:before="20"/>
                  <w:ind w:left="5316" w:right="0" w:firstLine="0"/>
                  <w:jc w:val="left"/>
                  <w:rPr>
                    <w:i/>
                    <w:sz w:val="16"/>
                  </w:rPr>
                </w:pPr>
                <w:r>
                  <w:rPr>
                    <w:i/>
                    <w:sz w:val="16"/>
                  </w:rPr>
                  <w:t>E-Doc* - Documento Virtual válido conforme Decreto nº 40.394/2019</w:t>
                </w:r>
              </w:p>
            </w:txbxContent>
          </v:textbox>
          <w10:wrap type="none"/>
        </v:shape>
      </w:pict>
    </w:r>
    <w:r>
      <w:rPr/>
      <w:pict>
        <v:shape style="position:absolute;margin-left:9pt;margin-top:817.757813pt;width:492.5pt;height:19.95pt;mso-position-horizontal-relative:page;mso-position-vertical-relative:page;z-index:-252556288" type="#_x0000_t202" filled="false" stroked="false">
          <v:textbox inset="0,0,0,0">
            <w:txbxContent>
              <w:p>
                <w:pPr>
                  <w:spacing w:line="235" w:lineRule="auto" w:before="17"/>
                  <w:ind w:left="20" w:right="0" w:firstLine="0"/>
                  <w:jc w:val="left"/>
                  <w:rPr>
                    <w:sz w:val="16"/>
                  </w:rPr>
                </w:pPr>
                <w:hyperlink r:id="rId1">
                  <w:r>
                    <w:rPr>
                      <w:color w:val="A9A9A9"/>
                      <w:sz w:val="16"/>
                    </w:rPr>
                    <w:t>Documento assinado utilizando login/senha do sistema (DOCFLOW) Verificação em: http://edocsergipe.se.gov.br/consultacodigo.</w:t>
                  </w:r>
                </w:hyperlink>
                <w:r>
                  <w:rPr>
                    <w:color w:val="A9A9A9"/>
                    <w:sz w:val="16"/>
                  </w:rPr>
                  <w:t> Utilize o código: KLCS-8ZU1-HMDF-8E5R</w:t>
                </w:r>
              </w:p>
            </w:txbxContent>
          </v:textbox>
          <w10:wrap type="none"/>
        </v:shape>
      </w:pict>
    </w:r>
    <w:r>
      <w:rPr/>
      <w:pict>
        <v:shape style="position:absolute;margin-left:519.869995pt;margin-top:823.757813pt;width:60.3pt;height:10.95pt;mso-position-horizontal-relative:page;mso-position-vertical-relative:page;z-index:-252555264" type="#_x0000_t202" filled="false" stroked="false">
          <v:textbox inset="0,0,0,0">
            <w:txbxContent>
              <w:p>
                <w:pPr>
                  <w:spacing w:before="14"/>
                  <w:ind w:left="20" w:right="0" w:firstLine="0"/>
                  <w:jc w:val="left"/>
                  <w:rPr>
                    <w:sz w:val="16"/>
                  </w:rPr>
                </w:pPr>
                <w:r>
                  <w:rPr>
                    <w:color w:val="A9A9A9"/>
                    <w:sz w:val="16"/>
                  </w:rPr>
                  <w:t>Página 11 de 15</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799999pt;margin-top:792.757813pt;width:510.25pt;height:21.15pt;mso-position-horizontal-relative:page;mso-position-vertical-relative:page;z-index:-252552192" type="#_x0000_t202" filled="false" stroked="false">
          <v:textbox inset="0,0,0,0">
            <w:txbxContent>
              <w:p>
                <w:pPr>
                  <w:spacing w:before="14"/>
                  <w:ind w:left="20" w:right="0" w:firstLine="0"/>
                  <w:jc w:val="left"/>
                  <w:rPr>
                    <w:i/>
                    <w:sz w:val="16"/>
                  </w:rPr>
                </w:pPr>
                <w:r>
                  <w:rPr>
                    <w:i/>
                    <w:sz w:val="16"/>
                  </w:rPr>
                  <w:t>Av. Empresário José Carlos Silva, 4.444, Bairro Inácio Barbosa - Aracaju/Sergipe, CEP: 49040-850</w:t>
                </w:r>
              </w:p>
              <w:p>
                <w:pPr>
                  <w:spacing w:before="20"/>
                  <w:ind w:left="5316" w:right="0" w:firstLine="0"/>
                  <w:jc w:val="left"/>
                  <w:rPr>
                    <w:i/>
                    <w:sz w:val="16"/>
                  </w:rPr>
                </w:pPr>
                <w:r>
                  <w:rPr>
                    <w:i/>
                    <w:sz w:val="16"/>
                  </w:rPr>
                  <w:t>E-Doc* - Documento Virtual válido conforme Decreto nº 40.394/2019</w:t>
                </w:r>
              </w:p>
            </w:txbxContent>
          </v:textbox>
          <w10:wrap type="none"/>
        </v:shape>
      </w:pict>
    </w:r>
    <w:r>
      <w:rPr/>
      <w:pict>
        <v:shape style="position:absolute;margin-left:9pt;margin-top:817.757813pt;width:492.5pt;height:19.95pt;mso-position-horizontal-relative:page;mso-position-vertical-relative:page;z-index:-252551168" type="#_x0000_t202" filled="false" stroked="false">
          <v:textbox inset="0,0,0,0">
            <w:txbxContent>
              <w:p>
                <w:pPr>
                  <w:spacing w:line="235" w:lineRule="auto" w:before="17"/>
                  <w:ind w:left="20" w:right="0" w:firstLine="0"/>
                  <w:jc w:val="left"/>
                  <w:rPr>
                    <w:sz w:val="16"/>
                  </w:rPr>
                </w:pPr>
                <w:hyperlink r:id="rId1">
                  <w:r>
                    <w:rPr>
                      <w:color w:val="A9A9A9"/>
                      <w:sz w:val="16"/>
                    </w:rPr>
                    <w:t>Documento assinado utilizando login/senha do sistema (DOCFLOW) Verificação em: http://edocsergipe.se.gov.br/consultacodigo.</w:t>
                  </w:r>
                </w:hyperlink>
                <w:r>
                  <w:rPr>
                    <w:color w:val="A9A9A9"/>
                    <w:sz w:val="16"/>
                  </w:rPr>
                  <w:t> Utilize o código: KLCS-8ZU1-HMDF-8E5R</w:t>
                </w:r>
              </w:p>
            </w:txbxContent>
          </v:textbox>
          <w10:wrap type="none"/>
        </v:shape>
      </w:pict>
    </w:r>
    <w:r>
      <w:rPr/>
      <w:pict>
        <v:shape style="position:absolute;margin-left:519.869995pt;margin-top:823.757813pt;width:60.3pt;height:10.95pt;mso-position-horizontal-relative:page;mso-position-vertical-relative:page;z-index:-252550144" type="#_x0000_t202" filled="false" stroked="false">
          <v:textbox inset="0,0,0,0">
            <w:txbxContent>
              <w:p>
                <w:pPr>
                  <w:spacing w:before="14"/>
                  <w:ind w:left="20" w:right="0" w:firstLine="0"/>
                  <w:jc w:val="left"/>
                  <w:rPr>
                    <w:sz w:val="16"/>
                  </w:rPr>
                </w:pPr>
                <w:r>
                  <w:rPr>
                    <w:color w:val="A9A9A9"/>
                    <w:sz w:val="16"/>
                  </w:rPr>
                  <w:t>Página 12 de 15</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799999pt;margin-top:792.757813pt;width:510.25pt;height:21.15pt;mso-position-horizontal-relative:page;mso-position-vertical-relative:page;z-index:-252547072" type="#_x0000_t202" filled="false" stroked="false">
          <v:textbox inset="0,0,0,0">
            <w:txbxContent>
              <w:p>
                <w:pPr>
                  <w:spacing w:before="14"/>
                  <w:ind w:left="20" w:right="0" w:firstLine="0"/>
                  <w:jc w:val="left"/>
                  <w:rPr>
                    <w:i/>
                    <w:sz w:val="16"/>
                  </w:rPr>
                </w:pPr>
                <w:r>
                  <w:rPr>
                    <w:i/>
                    <w:sz w:val="16"/>
                  </w:rPr>
                  <w:t>Av. Empresário José Carlos Silva, 4.444, Bairro Inácio Barbosa - Aracaju/Sergipe, CEP: 49040-850</w:t>
                </w:r>
              </w:p>
              <w:p>
                <w:pPr>
                  <w:spacing w:before="20"/>
                  <w:ind w:left="5316" w:right="0" w:firstLine="0"/>
                  <w:jc w:val="left"/>
                  <w:rPr>
                    <w:i/>
                    <w:sz w:val="16"/>
                  </w:rPr>
                </w:pPr>
                <w:r>
                  <w:rPr>
                    <w:i/>
                    <w:sz w:val="16"/>
                  </w:rPr>
                  <w:t>E-Doc* - Documento Virtual válido conforme Decreto nº 40.394/2019</w:t>
                </w:r>
              </w:p>
            </w:txbxContent>
          </v:textbox>
          <w10:wrap type="none"/>
        </v:shape>
      </w:pict>
    </w:r>
    <w:r>
      <w:rPr/>
      <w:pict>
        <v:shape style="position:absolute;margin-left:9pt;margin-top:817.757813pt;width:492.5pt;height:19.95pt;mso-position-horizontal-relative:page;mso-position-vertical-relative:page;z-index:-252546048" type="#_x0000_t202" filled="false" stroked="false">
          <v:textbox inset="0,0,0,0">
            <w:txbxContent>
              <w:p>
                <w:pPr>
                  <w:spacing w:line="235" w:lineRule="auto" w:before="17"/>
                  <w:ind w:left="20" w:right="0" w:firstLine="0"/>
                  <w:jc w:val="left"/>
                  <w:rPr>
                    <w:sz w:val="16"/>
                  </w:rPr>
                </w:pPr>
                <w:hyperlink r:id="rId1">
                  <w:r>
                    <w:rPr>
                      <w:color w:val="A9A9A9"/>
                      <w:sz w:val="16"/>
                    </w:rPr>
                    <w:t>Documento assinado utilizando login/senha do sistema (DOCFLOW) Verificação em: http://edocsergipe.se.gov.br/consultacodigo.</w:t>
                  </w:r>
                </w:hyperlink>
                <w:r>
                  <w:rPr>
                    <w:color w:val="A9A9A9"/>
                    <w:sz w:val="16"/>
                  </w:rPr>
                  <w:t> Utilize o código: KLCS-8ZU1-HMDF-8E5R</w:t>
                </w:r>
              </w:p>
            </w:txbxContent>
          </v:textbox>
          <w10:wrap type="none"/>
        </v:shape>
      </w:pict>
    </w:r>
    <w:r>
      <w:rPr/>
      <w:pict>
        <v:shape style="position:absolute;margin-left:519.869995pt;margin-top:823.757813pt;width:60.3pt;height:10.95pt;mso-position-horizontal-relative:page;mso-position-vertical-relative:page;z-index:-252545024" type="#_x0000_t202" filled="false" stroked="false">
          <v:textbox inset="0,0,0,0">
            <w:txbxContent>
              <w:p>
                <w:pPr>
                  <w:spacing w:before="14"/>
                  <w:ind w:left="20" w:right="0" w:firstLine="0"/>
                  <w:jc w:val="left"/>
                  <w:rPr>
                    <w:sz w:val="16"/>
                  </w:rPr>
                </w:pPr>
                <w:r>
                  <w:rPr>
                    <w:color w:val="A9A9A9"/>
                    <w:sz w:val="16"/>
                  </w:rPr>
                  <w:t>Página 13 de 15</w:t>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799999pt;margin-top:792.757813pt;width:510.25pt;height:21.15pt;mso-position-horizontal-relative:page;mso-position-vertical-relative:page;z-index:-252541952" type="#_x0000_t202" filled="false" stroked="false">
          <v:textbox inset="0,0,0,0">
            <w:txbxContent>
              <w:p>
                <w:pPr>
                  <w:spacing w:before="14"/>
                  <w:ind w:left="20" w:right="0" w:firstLine="0"/>
                  <w:jc w:val="left"/>
                  <w:rPr>
                    <w:i/>
                    <w:sz w:val="16"/>
                  </w:rPr>
                </w:pPr>
                <w:r>
                  <w:rPr>
                    <w:i/>
                    <w:sz w:val="16"/>
                  </w:rPr>
                  <w:t>Av. Empresário José Carlos Silva, 4.444, Bairro Inácio Barbosa - Aracaju/Sergipe, CEP: 49040-850</w:t>
                </w:r>
              </w:p>
              <w:p>
                <w:pPr>
                  <w:spacing w:before="20"/>
                  <w:ind w:left="5316" w:right="0" w:firstLine="0"/>
                  <w:jc w:val="left"/>
                  <w:rPr>
                    <w:i/>
                    <w:sz w:val="16"/>
                  </w:rPr>
                </w:pPr>
                <w:r>
                  <w:rPr>
                    <w:i/>
                    <w:sz w:val="16"/>
                  </w:rPr>
                  <w:t>E-Doc* - Documento Virtual válido conforme Decreto nº 40.394/2019</w:t>
                </w:r>
              </w:p>
            </w:txbxContent>
          </v:textbox>
          <w10:wrap type="none"/>
        </v:shape>
      </w:pict>
    </w:r>
    <w:r>
      <w:rPr/>
      <w:pict>
        <v:shape style="position:absolute;margin-left:9pt;margin-top:817.757813pt;width:492.5pt;height:19.95pt;mso-position-horizontal-relative:page;mso-position-vertical-relative:page;z-index:-252540928" type="#_x0000_t202" filled="false" stroked="false">
          <v:textbox inset="0,0,0,0">
            <w:txbxContent>
              <w:p>
                <w:pPr>
                  <w:spacing w:line="235" w:lineRule="auto" w:before="17"/>
                  <w:ind w:left="20" w:right="0" w:firstLine="0"/>
                  <w:jc w:val="left"/>
                  <w:rPr>
                    <w:sz w:val="16"/>
                  </w:rPr>
                </w:pPr>
                <w:hyperlink r:id="rId1">
                  <w:r>
                    <w:rPr>
                      <w:color w:val="A9A9A9"/>
                      <w:sz w:val="16"/>
                    </w:rPr>
                    <w:t>Documento assinado utilizando login/senha do sistema (DOCFLOW) Verificação em: http://edocsergipe.se.gov.br/consultacodigo.</w:t>
                  </w:r>
                </w:hyperlink>
                <w:r>
                  <w:rPr>
                    <w:color w:val="A9A9A9"/>
                    <w:sz w:val="16"/>
                  </w:rPr>
                  <w:t> Utilize o código: KLCS-8ZU1-HMDF-8E5R</w:t>
                </w:r>
              </w:p>
            </w:txbxContent>
          </v:textbox>
          <w10:wrap type="none"/>
        </v:shape>
      </w:pict>
    </w:r>
    <w:r>
      <w:rPr/>
      <w:pict>
        <v:shape style="position:absolute;margin-left:519.869995pt;margin-top:823.757813pt;width:60.3pt;height:10.95pt;mso-position-horizontal-relative:page;mso-position-vertical-relative:page;z-index:-252539904" type="#_x0000_t202" filled="false" stroked="false">
          <v:textbox inset="0,0,0,0">
            <w:txbxContent>
              <w:p>
                <w:pPr>
                  <w:spacing w:before="14"/>
                  <w:ind w:left="20" w:right="0" w:firstLine="0"/>
                  <w:jc w:val="left"/>
                  <w:rPr>
                    <w:sz w:val="16"/>
                  </w:rPr>
                </w:pPr>
                <w:r>
                  <w:rPr>
                    <w:color w:val="A9A9A9"/>
                    <w:sz w:val="16"/>
                  </w:rPr>
                  <w:t>Página 14 de 15</w:t>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799999pt;margin-top:792.757813pt;width:510.25pt;height:21.15pt;mso-position-horizontal-relative:page;mso-position-vertical-relative:page;z-index:-252536832" type="#_x0000_t202" filled="false" stroked="false">
          <v:textbox inset="0,0,0,0">
            <w:txbxContent>
              <w:p>
                <w:pPr>
                  <w:spacing w:before="14"/>
                  <w:ind w:left="20" w:right="0" w:firstLine="0"/>
                  <w:jc w:val="left"/>
                  <w:rPr>
                    <w:i/>
                    <w:sz w:val="16"/>
                  </w:rPr>
                </w:pPr>
                <w:r>
                  <w:rPr>
                    <w:i/>
                    <w:sz w:val="16"/>
                  </w:rPr>
                  <w:t>Av. Empresário José Carlos Silva, 4.444, Bairro Inácio Barbosa - Aracaju/Sergipe, CEP: 49040-850</w:t>
                </w:r>
              </w:p>
              <w:p>
                <w:pPr>
                  <w:spacing w:before="20"/>
                  <w:ind w:left="5316" w:right="0" w:firstLine="0"/>
                  <w:jc w:val="left"/>
                  <w:rPr>
                    <w:i/>
                    <w:sz w:val="16"/>
                  </w:rPr>
                </w:pPr>
                <w:r>
                  <w:rPr>
                    <w:i/>
                    <w:sz w:val="16"/>
                  </w:rPr>
                  <w:t>E-Doc* - Documento Virtual válido conforme Decreto nº 40.394/2019</w:t>
                </w:r>
              </w:p>
            </w:txbxContent>
          </v:textbox>
          <w10:wrap type="none"/>
        </v:shape>
      </w:pict>
    </w:r>
    <w:r>
      <w:rPr/>
      <w:pict>
        <v:shape style="position:absolute;margin-left:9pt;margin-top:817.757813pt;width:492.5pt;height:19.95pt;mso-position-horizontal-relative:page;mso-position-vertical-relative:page;z-index:-252535808" type="#_x0000_t202" filled="false" stroked="false">
          <v:textbox inset="0,0,0,0">
            <w:txbxContent>
              <w:p>
                <w:pPr>
                  <w:spacing w:line="235" w:lineRule="auto" w:before="17"/>
                  <w:ind w:left="20" w:right="0" w:firstLine="0"/>
                  <w:jc w:val="left"/>
                  <w:rPr>
                    <w:sz w:val="16"/>
                  </w:rPr>
                </w:pPr>
                <w:hyperlink r:id="rId1">
                  <w:r>
                    <w:rPr>
                      <w:color w:val="A9A9A9"/>
                      <w:sz w:val="16"/>
                    </w:rPr>
                    <w:t>Documento assinado utilizando login/senha do sistema (DOCFLOW) Verificação em: http://edocsergipe.se.gov.br/consultacodigo.</w:t>
                  </w:r>
                </w:hyperlink>
                <w:r>
                  <w:rPr>
                    <w:color w:val="A9A9A9"/>
                    <w:sz w:val="16"/>
                  </w:rPr>
                  <w:t> Utilize o código: KLCS-8ZU1-HMDF-8E5R</w:t>
                </w:r>
              </w:p>
            </w:txbxContent>
          </v:textbox>
          <w10:wrap type="none"/>
        </v:shape>
      </w:pict>
    </w:r>
    <w:r>
      <w:rPr/>
      <w:pict>
        <v:shape style="position:absolute;margin-left:519.869995pt;margin-top:823.757813pt;width:60.3pt;height:10.95pt;mso-position-horizontal-relative:page;mso-position-vertical-relative:page;z-index:-252534784" type="#_x0000_t202" filled="false" stroked="false">
          <v:textbox inset="0,0,0,0">
            <w:txbxContent>
              <w:p>
                <w:pPr>
                  <w:spacing w:before="14"/>
                  <w:ind w:left="20" w:right="0" w:firstLine="0"/>
                  <w:jc w:val="left"/>
                  <w:rPr>
                    <w:sz w:val="16"/>
                  </w:rPr>
                </w:pPr>
                <w:r>
                  <w:rPr>
                    <w:color w:val="A9A9A9"/>
                    <w:sz w:val="16"/>
                  </w:rPr>
                  <w:t>Página 15 de 15</w:t>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799999pt;margin-top:792.757813pt;width:510.25pt;height:21.15pt;mso-position-horizontal-relative:page;mso-position-vertical-relative:page;z-index:-252603392" type="#_x0000_t202" filled="false" stroked="false">
          <v:textbox inset="0,0,0,0">
            <w:txbxContent>
              <w:p>
                <w:pPr>
                  <w:spacing w:before="14"/>
                  <w:ind w:left="20" w:right="0" w:firstLine="0"/>
                  <w:jc w:val="left"/>
                  <w:rPr>
                    <w:i/>
                    <w:sz w:val="16"/>
                  </w:rPr>
                </w:pPr>
                <w:r>
                  <w:rPr>
                    <w:i/>
                    <w:sz w:val="16"/>
                  </w:rPr>
                  <w:t>Av. Empresário José Carlos Silva, 4.444, Bairro Inácio Barbosa - Aracaju/Sergipe, CEP: 49040-850</w:t>
                </w:r>
              </w:p>
              <w:p>
                <w:pPr>
                  <w:spacing w:before="20"/>
                  <w:ind w:left="5316" w:right="0" w:firstLine="0"/>
                  <w:jc w:val="left"/>
                  <w:rPr>
                    <w:i/>
                    <w:sz w:val="16"/>
                  </w:rPr>
                </w:pPr>
                <w:r>
                  <w:rPr>
                    <w:i/>
                    <w:sz w:val="16"/>
                  </w:rPr>
                  <w:t>E-Doc* - Documento Virtual válido conforme Decreto nº 40.394/2019</w:t>
                </w:r>
              </w:p>
            </w:txbxContent>
          </v:textbox>
          <w10:wrap type="none"/>
        </v:shape>
      </w:pict>
    </w:r>
    <w:r>
      <w:rPr/>
      <w:pict>
        <v:shape style="position:absolute;margin-left:9pt;margin-top:817.757813pt;width:492.5pt;height:19.95pt;mso-position-horizontal-relative:page;mso-position-vertical-relative:page;z-index:-252602368" type="#_x0000_t202" filled="false" stroked="false">
          <v:textbox inset="0,0,0,0">
            <w:txbxContent>
              <w:p>
                <w:pPr>
                  <w:spacing w:line="235" w:lineRule="auto" w:before="17"/>
                  <w:ind w:left="20" w:right="0" w:firstLine="0"/>
                  <w:jc w:val="left"/>
                  <w:rPr>
                    <w:sz w:val="16"/>
                  </w:rPr>
                </w:pPr>
                <w:hyperlink r:id="rId1">
                  <w:r>
                    <w:rPr>
                      <w:color w:val="A9A9A9"/>
                      <w:sz w:val="16"/>
                    </w:rPr>
                    <w:t>Documento assinado utilizando login/senha do sistema (DOCFLOW) Verificação em: http://edocsergipe.se.gov.br/consultacodigo.</w:t>
                  </w:r>
                </w:hyperlink>
                <w:r>
                  <w:rPr>
                    <w:color w:val="A9A9A9"/>
                    <w:sz w:val="16"/>
                  </w:rPr>
                  <w:t> Utilize o código: KLCS-8ZU1-HMDF-8E5R</w:t>
                </w:r>
              </w:p>
            </w:txbxContent>
          </v:textbox>
          <w10:wrap type="none"/>
        </v:shape>
      </w:pict>
    </w:r>
    <w:r>
      <w:rPr/>
      <w:pict>
        <v:shape style="position:absolute;margin-left:522.090027pt;margin-top:823.757813pt;width:55.85pt;height:10.95pt;mso-position-horizontal-relative:page;mso-position-vertical-relative:page;z-index:-252601344" type="#_x0000_t202" filled="false" stroked="false">
          <v:textbox inset="0,0,0,0">
            <w:txbxContent>
              <w:p>
                <w:pPr>
                  <w:spacing w:before="14"/>
                  <w:ind w:left="20" w:right="0" w:firstLine="0"/>
                  <w:jc w:val="left"/>
                  <w:rPr>
                    <w:sz w:val="16"/>
                  </w:rPr>
                </w:pPr>
                <w:r>
                  <w:rPr>
                    <w:color w:val="A9A9A9"/>
                    <w:sz w:val="16"/>
                  </w:rPr>
                  <w:t>Página 2 de 15</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799999pt;margin-top:792.757813pt;width:510.25pt;height:21.15pt;mso-position-horizontal-relative:page;mso-position-vertical-relative:page;z-index:-252598272" type="#_x0000_t202" filled="false" stroked="false">
          <v:textbox inset="0,0,0,0">
            <w:txbxContent>
              <w:p>
                <w:pPr>
                  <w:spacing w:before="14"/>
                  <w:ind w:left="20" w:right="0" w:firstLine="0"/>
                  <w:jc w:val="left"/>
                  <w:rPr>
                    <w:i/>
                    <w:sz w:val="16"/>
                  </w:rPr>
                </w:pPr>
                <w:r>
                  <w:rPr>
                    <w:i/>
                    <w:sz w:val="16"/>
                  </w:rPr>
                  <w:t>Av. Empresário José Carlos Silva, 4.444, Bairro Inácio Barbosa - Aracaju/Sergipe, CEP: 49040-850</w:t>
                </w:r>
              </w:p>
              <w:p>
                <w:pPr>
                  <w:spacing w:before="20"/>
                  <w:ind w:left="5316" w:right="0" w:firstLine="0"/>
                  <w:jc w:val="left"/>
                  <w:rPr>
                    <w:i/>
                    <w:sz w:val="16"/>
                  </w:rPr>
                </w:pPr>
                <w:r>
                  <w:rPr>
                    <w:i/>
                    <w:sz w:val="16"/>
                  </w:rPr>
                  <w:t>E-Doc* - Documento Virtual válido conforme Decreto nº 40.394/2019</w:t>
                </w:r>
              </w:p>
            </w:txbxContent>
          </v:textbox>
          <w10:wrap type="none"/>
        </v:shape>
      </w:pict>
    </w:r>
    <w:r>
      <w:rPr/>
      <w:pict>
        <v:shape style="position:absolute;margin-left:9pt;margin-top:817.757813pt;width:492.5pt;height:19.95pt;mso-position-horizontal-relative:page;mso-position-vertical-relative:page;z-index:-252597248" type="#_x0000_t202" filled="false" stroked="false">
          <v:textbox inset="0,0,0,0">
            <w:txbxContent>
              <w:p>
                <w:pPr>
                  <w:spacing w:line="235" w:lineRule="auto" w:before="17"/>
                  <w:ind w:left="20" w:right="0" w:firstLine="0"/>
                  <w:jc w:val="left"/>
                  <w:rPr>
                    <w:sz w:val="16"/>
                  </w:rPr>
                </w:pPr>
                <w:hyperlink r:id="rId1">
                  <w:r>
                    <w:rPr>
                      <w:color w:val="A9A9A9"/>
                      <w:sz w:val="16"/>
                    </w:rPr>
                    <w:t>Documento assinado utilizando login/senha do sistema (DOCFLOW) Verificação em: http://edocsergipe.se.gov.br/consultacodigo.</w:t>
                  </w:r>
                </w:hyperlink>
                <w:r>
                  <w:rPr>
                    <w:color w:val="A9A9A9"/>
                    <w:sz w:val="16"/>
                  </w:rPr>
                  <w:t> Utilize o código: KLCS-8ZU1-HMDF-8E5R</w:t>
                </w:r>
              </w:p>
            </w:txbxContent>
          </v:textbox>
          <w10:wrap type="none"/>
        </v:shape>
      </w:pict>
    </w:r>
    <w:r>
      <w:rPr/>
      <w:pict>
        <v:shape style="position:absolute;margin-left:522.090027pt;margin-top:823.757813pt;width:55.85pt;height:10.95pt;mso-position-horizontal-relative:page;mso-position-vertical-relative:page;z-index:-252596224" type="#_x0000_t202" filled="false" stroked="false">
          <v:textbox inset="0,0,0,0">
            <w:txbxContent>
              <w:p>
                <w:pPr>
                  <w:spacing w:before="14"/>
                  <w:ind w:left="20" w:right="0" w:firstLine="0"/>
                  <w:jc w:val="left"/>
                  <w:rPr>
                    <w:sz w:val="16"/>
                  </w:rPr>
                </w:pPr>
                <w:r>
                  <w:rPr>
                    <w:color w:val="A9A9A9"/>
                    <w:sz w:val="16"/>
                  </w:rPr>
                  <w:t>Página 3 de 15</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799999pt;margin-top:792.757813pt;width:510.25pt;height:21.15pt;mso-position-horizontal-relative:page;mso-position-vertical-relative:page;z-index:-252593152" type="#_x0000_t202" filled="false" stroked="false">
          <v:textbox inset="0,0,0,0">
            <w:txbxContent>
              <w:p>
                <w:pPr>
                  <w:spacing w:before="14"/>
                  <w:ind w:left="20" w:right="0" w:firstLine="0"/>
                  <w:jc w:val="left"/>
                  <w:rPr>
                    <w:i/>
                    <w:sz w:val="16"/>
                  </w:rPr>
                </w:pPr>
                <w:r>
                  <w:rPr>
                    <w:i/>
                    <w:sz w:val="16"/>
                  </w:rPr>
                  <w:t>Av. Empresário José Carlos Silva, 4.444, Bairro Inácio Barbosa - Aracaju/Sergipe, CEP: 49040-850</w:t>
                </w:r>
              </w:p>
              <w:p>
                <w:pPr>
                  <w:spacing w:before="20"/>
                  <w:ind w:left="5316" w:right="0" w:firstLine="0"/>
                  <w:jc w:val="left"/>
                  <w:rPr>
                    <w:i/>
                    <w:sz w:val="16"/>
                  </w:rPr>
                </w:pPr>
                <w:r>
                  <w:rPr>
                    <w:i/>
                    <w:sz w:val="16"/>
                  </w:rPr>
                  <w:t>E-Doc* - Documento Virtual válido conforme Decreto nº 40.394/2019</w:t>
                </w:r>
              </w:p>
            </w:txbxContent>
          </v:textbox>
          <w10:wrap type="none"/>
        </v:shape>
      </w:pict>
    </w:r>
    <w:r>
      <w:rPr/>
      <w:pict>
        <v:shape style="position:absolute;margin-left:9pt;margin-top:817.757813pt;width:492.5pt;height:19.95pt;mso-position-horizontal-relative:page;mso-position-vertical-relative:page;z-index:-252592128" type="#_x0000_t202" filled="false" stroked="false">
          <v:textbox inset="0,0,0,0">
            <w:txbxContent>
              <w:p>
                <w:pPr>
                  <w:spacing w:line="235" w:lineRule="auto" w:before="17"/>
                  <w:ind w:left="20" w:right="0" w:firstLine="0"/>
                  <w:jc w:val="left"/>
                  <w:rPr>
                    <w:sz w:val="16"/>
                  </w:rPr>
                </w:pPr>
                <w:hyperlink r:id="rId1">
                  <w:r>
                    <w:rPr>
                      <w:color w:val="A9A9A9"/>
                      <w:sz w:val="16"/>
                    </w:rPr>
                    <w:t>Documento assinado utilizando login/senha do sistema (DOCFLOW) Verificação em: http://edocsergipe.se.gov.br/consultacodigo.</w:t>
                  </w:r>
                </w:hyperlink>
                <w:r>
                  <w:rPr>
                    <w:color w:val="A9A9A9"/>
                    <w:sz w:val="16"/>
                  </w:rPr>
                  <w:t> Utilize o código: KLCS-8ZU1-HMDF-8E5R</w:t>
                </w:r>
              </w:p>
            </w:txbxContent>
          </v:textbox>
          <w10:wrap type="none"/>
        </v:shape>
      </w:pict>
    </w:r>
    <w:r>
      <w:rPr/>
      <w:pict>
        <v:shape style="position:absolute;margin-left:522.090027pt;margin-top:823.757813pt;width:55.85pt;height:10.95pt;mso-position-horizontal-relative:page;mso-position-vertical-relative:page;z-index:-252591104" type="#_x0000_t202" filled="false" stroked="false">
          <v:textbox inset="0,0,0,0">
            <w:txbxContent>
              <w:p>
                <w:pPr>
                  <w:spacing w:before="14"/>
                  <w:ind w:left="20" w:right="0" w:firstLine="0"/>
                  <w:jc w:val="left"/>
                  <w:rPr>
                    <w:sz w:val="16"/>
                  </w:rPr>
                </w:pPr>
                <w:r>
                  <w:rPr>
                    <w:color w:val="A9A9A9"/>
                    <w:sz w:val="16"/>
                  </w:rPr>
                  <w:t>Página 4 de 15</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799999pt;margin-top:792.757813pt;width:510.25pt;height:21.15pt;mso-position-horizontal-relative:page;mso-position-vertical-relative:page;z-index:-252588032" type="#_x0000_t202" filled="false" stroked="false">
          <v:textbox inset="0,0,0,0">
            <w:txbxContent>
              <w:p>
                <w:pPr>
                  <w:spacing w:before="14"/>
                  <w:ind w:left="20" w:right="0" w:firstLine="0"/>
                  <w:jc w:val="left"/>
                  <w:rPr>
                    <w:i/>
                    <w:sz w:val="16"/>
                  </w:rPr>
                </w:pPr>
                <w:r>
                  <w:rPr>
                    <w:i/>
                    <w:sz w:val="16"/>
                  </w:rPr>
                  <w:t>Av. Empresário José Carlos Silva, 4.444, Bairro Inácio Barbosa - Aracaju/Sergipe, CEP: 49040-850</w:t>
                </w:r>
              </w:p>
              <w:p>
                <w:pPr>
                  <w:spacing w:before="20"/>
                  <w:ind w:left="5316" w:right="0" w:firstLine="0"/>
                  <w:jc w:val="left"/>
                  <w:rPr>
                    <w:i/>
                    <w:sz w:val="16"/>
                  </w:rPr>
                </w:pPr>
                <w:r>
                  <w:rPr>
                    <w:i/>
                    <w:sz w:val="16"/>
                  </w:rPr>
                  <w:t>E-Doc* - Documento Virtual válido conforme Decreto nº 40.394/2019</w:t>
                </w:r>
              </w:p>
            </w:txbxContent>
          </v:textbox>
          <w10:wrap type="none"/>
        </v:shape>
      </w:pict>
    </w:r>
    <w:r>
      <w:rPr/>
      <w:pict>
        <v:shape style="position:absolute;margin-left:9pt;margin-top:817.757813pt;width:492.5pt;height:19.95pt;mso-position-horizontal-relative:page;mso-position-vertical-relative:page;z-index:-252587008" type="#_x0000_t202" filled="false" stroked="false">
          <v:textbox inset="0,0,0,0">
            <w:txbxContent>
              <w:p>
                <w:pPr>
                  <w:spacing w:line="235" w:lineRule="auto" w:before="17"/>
                  <w:ind w:left="20" w:right="0" w:firstLine="0"/>
                  <w:jc w:val="left"/>
                  <w:rPr>
                    <w:sz w:val="16"/>
                  </w:rPr>
                </w:pPr>
                <w:hyperlink r:id="rId1">
                  <w:r>
                    <w:rPr>
                      <w:color w:val="A9A9A9"/>
                      <w:sz w:val="16"/>
                    </w:rPr>
                    <w:t>Documento assinado utilizando login/senha do sistema (DOCFLOW) Verificação em: http://edocsergipe.se.gov.br/consultacodigo.</w:t>
                  </w:r>
                </w:hyperlink>
                <w:r>
                  <w:rPr>
                    <w:color w:val="A9A9A9"/>
                    <w:sz w:val="16"/>
                  </w:rPr>
                  <w:t> Utilize o código: KLCS-8ZU1-HMDF-8E5R</w:t>
                </w:r>
              </w:p>
            </w:txbxContent>
          </v:textbox>
          <w10:wrap type="none"/>
        </v:shape>
      </w:pict>
    </w:r>
    <w:r>
      <w:rPr/>
      <w:pict>
        <v:shape style="position:absolute;margin-left:522.090027pt;margin-top:823.757813pt;width:55.85pt;height:10.95pt;mso-position-horizontal-relative:page;mso-position-vertical-relative:page;z-index:-252585984" type="#_x0000_t202" filled="false" stroked="false">
          <v:textbox inset="0,0,0,0">
            <w:txbxContent>
              <w:p>
                <w:pPr>
                  <w:spacing w:before="14"/>
                  <w:ind w:left="20" w:right="0" w:firstLine="0"/>
                  <w:jc w:val="left"/>
                  <w:rPr>
                    <w:sz w:val="16"/>
                  </w:rPr>
                </w:pPr>
                <w:r>
                  <w:rPr>
                    <w:color w:val="A9A9A9"/>
                    <w:sz w:val="16"/>
                  </w:rPr>
                  <w:t>Página 5 de 15</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799999pt;margin-top:792.757813pt;width:510.25pt;height:21.15pt;mso-position-horizontal-relative:page;mso-position-vertical-relative:page;z-index:-252582912" type="#_x0000_t202" filled="false" stroked="false">
          <v:textbox inset="0,0,0,0">
            <w:txbxContent>
              <w:p>
                <w:pPr>
                  <w:spacing w:before="14"/>
                  <w:ind w:left="20" w:right="0" w:firstLine="0"/>
                  <w:jc w:val="left"/>
                  <w:rPr>
                    <w:i/>
                    <w:sz w:val="16"/>
                  </w:rPr>
                </w:pPr>
                <w:r>
                  <w:rPr>
                    <w:i/>
                    <w:sz w:val="16"/>
                  </w:rPr>
                  <w:t>Av. Empresário José Carlos Silva, 4.444, Bairro Inácio Barbosa - Aracaju/Sergipe, CEP: 49040-850</w:t>
                </w:r>
              </w:p>
              <w:p>
                <w:pPr>
                  <w:spacing w:before="20"/>
                  <w:ind w:left="5316" w:right="0" w:firstLine="0"/>
                  <w:jc w:val="left"/>
                  <w:rPr>
                    <w:i/>
                    <w:sz w:val="16"/>
                  </w:rPr>
                </w:pPr>
                <w:r>
                  <w:rPr>
                    <w:i/>
                    <w:sz w:val="16"/>
                  </w:rPr>
                  <w:t>E-Doc* - Documento Virtual válido conforme Decreto nº 40.394/2019</w:t>
                </w:r>
              </w:p>
            </w:txbxContent>
          </v:textbox>
          <w10:wrap type="none"/>
        </v:shape>
      </w:pict>
    </w:r>
    <w:r>
      <w:rPr/>
      <w:pict>
        <v:shape style="position:absolute;margin-left:9pt;margin-top:817.757813pt;width:492.5pt;height:19.95pt;mso-position-horizontal-relative:page;mso-position-vertical-relative:page;z-index:-252581888" type="#_x0000_t202" filled="false" stroked="false">
          <v:textbox inset="0,0,0,0">
            <w:txbxContent>
              <w:p>
                <w:pPr>
                  <w:spacing w:line="235" w:lineRule="auto" w:before="17"/>
                  <w:ind w:left="20" w:right="0" w:firstLine="0"/>
                  <w:jc w:val="left"/>
                  <w:rPr>
                    <w:sz w:val="16"/>
                  </w:rPr>
                </w:pPr>
                <w:hyperlink r:id="rId1">
                  <w:r>
                    <w:rPr>
                      <w:color w:val="A9A9A9"/>
                      <w:sz w:val="16"/>
                    </w:rPr>
                    <w:t>Documento assinado utilizando login/senha do sistema (DOCFLOW) Verificação em: http://edocsergipe.se.gov.br/consultacodigo.</w:t>
                  </w:r>
                </w:hyperlink>
                <w:r>
                  <w:rPr>
                    <w:color w:val="A9A9A9"/>
                    <w:sz w:val="16"/>
                  </w:rPr>
                  <w:t> Utilize o código: KLCS-8ZU1-HMDF-8E5R</w:t>
                </w:r>
              </w:p>
            </w:txbxContent>
          </v:textbox>
          <w10:wrap type="none"/>
        </v:shape>
      </w:pict>
    </w:r>
    <w:r>
      <w:rPr/>
      <w:pict>
        <v:shape style="position:absolute;margin-left:522.090027pt;margin-top:823.757813pt;width:55.85pt;height:10.95pt;mso-position-horizontal-relative:page;mso-position-vertical-relative:page;z-index:-252580864" type="#_x0000_t202" filled="false" stroked="false">
          <v:textbox inset="0,0,0,0">
            <w:txbxContent>
              <w:p>
                <w:pPr>
                  <w:spacing w:before="14"/>
                  <w:ind w:left="20" w:right="0" w:firstLine="0"/>
                  <w:jc w:val="left"/>
                  <w:rPr>
                    <w:sz w:val="16"/>
                  </w:rPr>
                </w:pPr>
                <w:r>
                  <w:rPr>
                    <w:color w:val="A9A9A9"/>
                    <w:sz w:val="16"/>
                  </w:rPr>
                  <w:t>Página 6 de 15</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799999pt;margin-top:792.757813pt;width:510.25pt;height:21.15pt;mso-position-horizontal-relative:page;mso-position-vertical-relative:page;z-index:-252577792" type="#_x0000_t202" filled="false" stroked="false">
          <v:textbox inset="0,0,0,0">
            <w:txbxContent>
              <w:p>
                <w:pPr>
                  <w:spacing w:before="14"/>
                  <w:ind w:left="20" w:right="0" w:firstLine="0"/>
                  <w:jc w:val="left"/>
                  <w:rPr>
                    <w:i/>
                    <w:sz w:val="16"/>
                  </w:rPr>
                </w:pPr>
                <w:r>
                  <w:rPr>
                    <w:i/>
                    <w:sz w:val="16"/>
                  </w:rPr>
                  <w:t>Av. Empresário José Carlos Silva, 4.444, Bairro Inácio Barbosa - Aracaju/Sergipe, CEP: 49040-850</w:t>
                </w:r>
              </w:p>
              <w:p>
                <w:pPr>
                  <w:spacing w:before="20"/>
                  <w:ind w:left="5316" w:right="0" w:firstLine="0"/>
                  <w:jc w:val="left"/>
                  <w:rPr>
                    <w:i/>
                    <w:sz w:val="16"/>
                  </w:rPr>
                </w:pPr>
                <w:r>
                  <w:rPr>
                    <w:i/>
                    <w:sz w:val="16"/>
                  </w:rPr>
                  <w:t>E-Doc* - Documento Virtual válido conforme Decreto nº 40.394/2019</w:t>
                </w:r>
              </w:p>
            </w:txbxContent>
          </v:textbox>
          <w10:wrap type="none"/>
        </v:shape>
      </w:pict>
    </w:r>
    <w:r>
      <w:rPr/>
      <w:pict>
        <v:shape style="position:absolute;margin-left:9pt;margin-top:817.757813pt;width:492.5pt;height:19.95pt;mso-position-horizontal-relative:page;mso-position-vertical-relative:page;z-index:-252576768" type="#_x0000_t202" filled="false" stroked="false">
          <v:textbox inset="0,0,0,0">
            <w:txbxContent>
              <w:p>
                <w:pPr>
                  <w:spacing w:line="235" w:lineRule="auto" w:before="17"/>
                  <w:ind w:left="20" w:right="0" w:firstLine="0"/>
                  <w:jc w:val="left"/>
                  <w:rPr>
                    <w:sz w:val="16"/>
                  </w:rPr>
                </w:pPr>
                <w:hyperlink r:id="rId1">
                  <w:r>
                    <w:rPr>
                      <w:color w:val="A9A9A9"/>
                      <w:sz w:val="16"/>
                    </w:rPr>
                    <w:t>Documento assinado utilizando login/senha do sistema (DOCFLOW) Verificação em: http://edocsergipe.se.gov.br/consultacodigo.</w:t>
                  </w:r>
                </w:hyperlink>
                <w:r>
                  <w:rPr>
                    <w:color w:val="A9A9A9"/>
                    <w:sz w:val="16"/>
                  </w:rPr>
                  <w:t> Utilize o código: KLCS-8ZU1-HMDF-8E5R</w:t>
                </w:r>
              </w:p>
            </w:txbxContent>
          </v:textbox>
          <w10:wrap type="none"/>
        </v:shape>
      </w:pict>
    </w:r>
    <w:r>
      <w:rPr/>
      <w:pict>
        <v:shape style="position:absolute;margin-left:522.090027pt;margin-top:823.757813pt;width:55.85pt;height:10.95pt;mso-position-horizontal-relative:page;mso-position-vertical-relative:page;z-index:-252575744" type="#_x0000_t202" filled="false" stroked="false">
          <v:textbox inset="0,0,0,0">
            <w:txbxContent>
              <w:p>
                <w:pPr>
                  <w:spacing w:before="14"/>
                  <w:ind w:left="20" w:right="0" w:firstLine="0"/>
                  <w:jc w:val="left"/>
                  <w:rPr>
                    <w:sz w:val="16"/>
                  </w:rPr>
                </w:pPr>
                <w:r>
                  <w:rPr>
                    <w:color w:val="A9A9A9"/>
                    <w:sz w:val="16"/>
                  </w:rPr>
                  <w:t>Página 7 de 15</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799999pt;margin-top:792.757813pt;width:510.25pt;height:21.15pt;mso-position-horizontal-relative:page;mso-position-vertical-relative:page;z-index:-252572672" type="#_x0000_t202" filled="false" stroked="false">
          <v:textbox inset="0,0,0,0">
            <w:txbxContent>
              <w:p>
                <w:pPr>
                  <w:spacing w:before="14"/>
                  <w:ind w:left="20" w:right="0" w:firstLine="0"/>
                  <w:jc w:val="left"/>
                  <w:rPr>
                    <w:i/>
                    <w:sz w:val="16"/>
                  </w:rPr>
                </w:pPr>
                <w:r>
                  <w:rPr>
                    <w:i/>
                    <w:sz w:val="16"/>
                  </w:rPr>
                  <w:t>Av. Empresário José Carlos Silva, 4.444, Bairro Inácio Barbosa - Aracaju/Sergipe, CEP: 49040-850</w:t>
                </w:r>
              </w:p>
              <w:p>
                <w:pPr>
                  <w:spacing w:before="20"/>
                  <w:ind w:left="5316" w:right="0" w:firstLine="0"/>
                  <w:jc w:val="left"/>
                  <w:rPr>
                    <w:i/>
                    <w:sz w:val="16"/>
                  </w:rPr>
                </w:pPr>
                <w:r>
                  <w:rPr>
                    <w:i/>
                    <w:sz w:val="16"/>
                  </w:rPr>
                  <w:t>E-Doc* - Documento Virtual válido conforme Decreto nº 40.394/2019</w:t>
                </w:r>
              </w:p>
            </w:txbxContent>
          </v:textbox>
          <w10:wrap type="none"/>
        </v:shape>
      </w:pict>
    </w:r>
    <w:r>
      <w:rPr/>
      <w:pict>
        <v:shape style="position:absolute;margin-left:9pt;margin-top:817.757813pt;width:492.5pt;height:19.95pt;mso-position-horizontal-relative:page;mso-position-vertical-relative:page;z-index:-252571648" type="#_x0000_t202" filled="false" stroked="false">
          <v:textbox inset="0,0,0,0">
            <w:txbxContent>
              <w:p>
                <w:pPr>
                  <w:spacing w:line="235" w:lineRule="auto" w:before="17"/>
                  <w:ind w:left="20" w:right="0" w:firstLine="0"/>
                  <w:jc w:val="left"/>
                  <w:rPr>
                    <w:sz w:val="16"/>
                  </w:rPr>
                </w:pPr>
                <w:hyperlink r:id="rId1">
                  <w:r>
                    <w:rPr>
                      <w:color w:val="A9A9A9"/>
                      <w:sz w:val="16"/>
                    </w:rPr>
                    <w:t>Documento assinado utilizando login/senha do sistema (DOCFLOW) Verificação em: http://edocsergipe.se.gov.br/consultacodigo.</w:t>
                  </w:r>
                </w:hyperlink>
                <w:r>
                  <w:rPr>
                    <w:color w:val="A9A9A9"/>
                    <w:sz w:val="16"/>
                  </w:rPr>
                  <w:t> Utilize o código: KLCS-8ZU1-HMDF-8E5R</w:t>
                </w:r>
              </w:p>
            </w:txbxContent>
          </v:textbox>
          <w10:wrap type="none"/>
        </v:shape>
      </w:pict>
    </w:r>
    <w:r>
      <w:rPr/>
      <w:pict>
        <v:shape style="position:absolute;margin-left:522.090027pt;margin-top:823.757813pt;width:55.85pt;height:10.95pt;mso-position-horizontal-relative:page;mso-position-vertical-relative:page;z-index:-252570624" type="#_x0000_t202" filled="false" stroked="false">
          <v:textbox inset="0,0,0,0">
            <w:txbxContent>
              <w:p>
                <w:pPr>
                  <w:spacing w:before="14"/>
                  <w:ind w:left="20" w:right="0" w:firstLine="0"/>
                  <w:jc w:val="left"/>
                  <w:rPr>
                    <w:sz w:val="16"/>
                  </w:rPr>
                </w:pPr>
                <w:r>
                  <w:rPr>
                    <w:color w:val="A9A9A9"/>
                    <w:sz w:val="16"/>
                  </w:rPr>
                  <w:t>Página 8 de 15</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799999pt;margin-top:792.757813pt;width:510.25pt;height:21.15pt;mso-position-horizontal-relative:page;mso-position-vertical-relative:page;z-index:-252567552" type="#_x0000_t202" filled="false" stroked="false">
          <v:textbox inset="0,0,0,0">
            <w:txbxContent>
              <w:p>
                <w:pPr>
                  <w:spacing w:before="14"/>
                  <w:ind w:left="20" w:right="0" w:firstLine="0"/>
                  <w:jc w:val="left"/>
                  <w:rPr>
                    <w:i/>
                    <w:sz w:val="16"/>
                  </w:rPr>
                </w:pPr>
                <w:r>
                  <w:rPr>
                    <w:i/>
                    <w:sz w:val="16"/>
                  </w:rPr>
                  <w:t>Av. Empresário José Carlos Silva, 4.444, Bairro Inácio Barbosa - Aracaju/Sergipe, CEP: 49040-850</w:t>
                </w:r>
              </w:p>
              <w:p>
                <w:pPr>
                  <w:spacing w:before="20"/>
                  <w:ind w:left="5316" w:right="0" w:firstLine="0"/>
                  <w:jc w:val="left"/>
                  <w:rPr>
                    <w:i/>
                    <w:sz w:val="16"/>
                  </w:rPr>
                </w:pPr>
                <w:r>
                  <w:rPr>
                    <w:i/>
                    <w:sz w:val="16"/>
                  </w:rPr>
                  <w:t>E-Doc* - Documento Virtual válido conforme Decreto nº 40.394/2019</w:t>
                </w:r>
              </w:p>
            </w:txbxContent>
          </v:textbox>
          <w10:wrap type="none"/>
        </v:shape>
      </w:pict>
    </w:r>
    <w:r>
      <w:rPr/>
      <w:pict>
        <v:shape style="position:absolute;margin-left:9pt;margin-top:817.757813pt;width:492.5pt;height:19.95pt;mso-position-horizontal-relative:page;mso-position-vertical-relative:page;z-index:-252566528" type="#_x0000_t202" filled="false" stroked="false">
          <v:textbox inset="0,0,0,0">
            <w:txbxContent>
              <w:p>
                <w:pPr>
                  <w:spacing w:line="235" w:lineRule="auto" w:before="17"/>
                  <w:ind w:left="20" w:right="0" w:firstLine="0"/>
                  <w:jc w:val="left"/>
                  <w:rPr>
                    <w:sz w:val="16"/>
                  </w:rPr>
                </w:pPr>
                <w:hyperlink r:id="rId1">
                  <w:r>
                    <w:rPr>
                      <w:color w:val="A9A9A9"/>
                      <w:sz w:val="16"/>
                    </w:rPr>
                    <w:t>Documento assinado utilizando login/senha do sistema (DOCFLOW) Verificação em: http://edocsergipe.se.gov.br/consultacodigo.</w:t>
                  </w:r>
                </w:hyperlink>
                <w:r>
                  <w:rPr>
                    <w:color w:val="A9A9A9"/>
                    <w:sz w:val="16"/>
                  </w:rPr>
                  <w:t> Utilize o código: KLCS-8ZU1-HMDF-8E5R</w:t>
                </w:r>
              </w:p>
            </w:txbxContent>
          </v:textbox>
          <w10:wrap type="none"/>
        </v:shape>
      </w:pict>
    </w:r>
    <w:r>
      <w:rPr/>
      <w:pict>
        <v:shape style="position:absolute;margin-left:522.090027pt;margin-top:823.757813pt;width:55.85pt;height:10.95pt;mso-position-horizontal-relative:page;mso-position-vertical-relative:page;z-index:-252565504" type="#_x0000_t202" filled="false" stroked="false">
          <v:textbox inset="0,0,0,0">
            <w:txbxContent>
              <w:p>
                <w:pPr>
                  <w:spacing w:before="14"/>
                  <w:ind w:left="20" w:right="0" w:firstLine="0"/>
                  <w:jc w:val="left"/>
                  <w:rPr>
                    <w:sz w:val="16"/>
                  </w:rPr>
                </w:pPr>
                <w:r>
                  <w:rPr>
                    <w:color w:val="A9A9A9"/>
                    <w:sz w:val="16"/>
                  </w:rPr>
                  <w:t>Página </w:t>
                </w:r>
                <w:r>
                  <w:rPr/>
                  <w:fldChar w:fldCharType="begin"/>
                </w:r>
                <w:r>
                  <w:rPr>
                    <w:color w:val="A9A9A9"/>
                    <w:sz w:val="16"/>
                  </w:rPr>
                  <w:instrText> PAGE </w:instrText>
                </w:r>
                <w:r>
                  <w:rPr/>
                  <w:fldChar w:fldCharType="separate"/>
                </w:r>
                <w:r>
                  <w:rPr/>
                  <w:t>9</w:t>
                </w:r>
                <w:r>
                  <w:rPr/>
                  <w:fldChar w:fldCharType="end"/>
                </w:r>
                <w:r>
                  <w:rPr>
                    <w:color w:val="A9A9A9"/>
                    <w:sz w:val="16"/>
                  </w:rPr>
                  <w:t> de 15</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705920">
          <wp:simplePos x="0" y="0"/>
          <wp:positionH relativeFrom="page">
            <wp:posOffset>2051050</wp:posOffset>
          </wp:positionH>
          <wp:positionV relativeFrom="page">
            <wp:posOffset>394970</wp:posOffset>
          </wp:positionV>
          <wp:extent cx="3809366" cy="121030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3809366" cy="1210309"/>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12.299988pt;margin-top:142.157806pt;width:55.9pt;height:10.95pt;mso-position-horizontal-relative:page;mso-position-vertical-relative:page;z-index:-252609536" type="#_x0000_t202" filled="false" stroked="false">
          <v:textbox inset="0,0,0,0">
            <w:txbxContent>
              <w:p>
                <w:pPr>
                  <w:spacing w:before="14"/>
                  <w:ind w:left="20" w:right="0" w:firstLine="0"/>
                  <w:jc w:val="left"/>
                  <w:rPr>
                    <w:sz w:val="16"/>
                  </w:rPr>
                </w:pPr>
                <w:r>
                  <w:rPr>
                    <w:sz w:val="16"/>
                  </w:rPr>
                  <w:t>Página:</w:t>
                </w:r>
                <w:r>
                  <w:rPr/>
                  <w:fldChar w:fldCharType="begin"/>
                </w:r>
                <w:r>
                  <w:rPr>
                    <w:sz w:val="16"/>
                  </w:rPr>
                  <w:instrText> PAGE </w:instrText>
                </w:r>
                <w:r>
                  <w:rPr/>
                  <w:fldChar w:fldCharType="separate"/>
                </w:r>
                <w:r>
                  <w:rPr/>
                  <w:t>1</w:t>
                </w:r>
                <w:r>
                  <w:rPr/>
                  <w:fldChar w:fldCharType="end"/>
                </w:r>
                <w:r>
                  <w:rPr>
                    <w:sz w:val="16"/>
                  </w:rPr>
                  <w:t> de 15</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752000">
          <wp:simplePos x="0" y="0"/>
          <wp:positionH relativeFrom="page">
            <wp:posOffset>2051050</wp:posOffset>
          </wp:positionH>
          <wp:positionV relativeFrom="page">
            <wp:posOffset>394970</wp:posOffset>
          </wp:positionV>
          <wp:extent cx="3809366" cy="1210309"/>
          <wp:effectExtent l="0" t="0" r="0" b="0"/>
          <wp:wrapNone/>
          <wp:docPr id="19" name="image1.jpeg"/>
          <wp:cNvGraphicFramePr>
            <a:graphicFrameLocks noChangeAspect="1"/>
          </wp:cNvGraphicFramePr>
          <a:graphic>
            <a:graphicData uri="http://schemas.openxmlformats.org/drawingml/2006/picture">
              <pic:pic>
                <pic:nvPicPr>
                  <pic:cNvPr id="20" name="image1.jpeg"/>
                  <pic:cNvPicPr/>
                </pic:nvPicPr>
                <pic:blipFill>
                  <a:blip r:embed="rId1" cstate="print"/>
                  <a:stretch>
                    <a:fillRect/>
                  </a:stretch>
                </pic:blipFill>
                <pic:spPr>
                  <a:xfrm>
                    <a:off x="0" y="0"/>
                    <a:ext cx="3809366" cy="1210309"/>
                  </a:xfrm>
                  <a:prstGeom prst="rect">
                    <a:avLst/>
                  </a:prstGeom>
                </pic:spPr>
              </pic:pic>
            </a:graphicData>
          </a:graphic>
        </wp:anchor>
      </w:drawing>
    </w:r>
    <w:r>
      <w:rPr/>
      <w:pict>
        <v:shape style="position:absolute;margin-left:507.799988pt;margin-top:142.157806pt;width:60.4pt;height:10.95pt;mso-position-horizontal-relative:page;mso-position-vertical-relative:page;z-index:-252563456" type="#_x0000_t202" filled="false" stroked="false">
          <v:textbox inset="0,0,0,0">
            <w:txbxContent>
              <w:p>
                <w:pPr>
                  <w:spacing w:before="14"/>
                  <w:ind w:left="20" w:right="0" w:firstLine="0"/>
                  <w:jc w:val="left"/>
                  <w:rPr>
                    <w:sz w:val="16"/>
                  </w:rPr>
                </w:pPr>
                <w:r>
                  <w:rPr>
                    <w:sz w:val="16"/>
                  </w:rPr>
                  <w:t>Página:</w:t>
                </w:r>
                <w:r>
                  <w:rPr/>
                  <w:fldChar w:fldCharType="begin"/>
                </w:r>
                <w:r>
                  <w:rPr>
                    <w:sz w:val="16"/>
                  </w:rPr>
                  <w:instrText> PAGE </w:instrText>
                </w:r>
                <w:r>
                  <w:rPr/>
                  <w:fldChar w:fldCharType="separate"/>
                </w:r>
                <w:r>
                  <w:rPr/>
                  <w:t>10</w:t>
                </w:r>
                <w:r>
                  <w:rPr/>
                  <w:fldChar w:fldCharType="end"/>
                </w:r>
                <w:r>
                  <w:rPr>
                    <w:sz w:val="16"/>
                  </w:rPr>
                  <w:t> de 15</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757120">
          <wp:simplePos x="0" y="0"/>
          <wp:positionH relativeFrom="page">
            <wp:posOffset>2051050</wp:posOffset>
          </wp:positionH>
          <wp:positionV relativeFrom="page">
            <wp:posOffset>394970</wp:posOffset>
          </wp:positionV>
          <wp:extent cx="3809366" cy="1210309"/>
          <wp:effectExtent l="0" t="0" r="0" b="0"/>
          <wp:wrapNone/>
          <wp:docPr id="21" name="image1.jpeg"/>
          <wp:cNvGraphicFramePr>
            <a:graphicFrameLocks noChangeAspect="1"/>
          </wp:cNvGraphicFramePr>
          <a:graphic>
            <a:graphicData uri="http://schemas.openxmlformats.org/drawingml/2006/picture">
              <pic:pic>
                <pic:nvPicPr>
                  <pic:cNvPr id="22" name="image1.jpeg"/>
                  <pic:cNvPicPr/>
                </pic:nvPicPr>
                <pic:blipFill>
                  <a:blip r:embed="rId1" cstate="print"/>
                  <a:stretch>
                    <a:fillRect/>
                  </a:stretch>
                </pic:blipFill>
                <pic:spPr>
                  <a:xfrm>
                    <a:off x="0" y="0"/>
                    <a:ext cx="3809366" cy="1210309"/>
                  </a:xfrm>
                  <a:prstGeom prst="rect">
                    <a:avLst/>
                  </a:prstGeom>
                </pic:spPr>
              </pic:pic>
            </a:graphicData>
          </a:graphic>
        </wp:anchor>
      </w:drawing>
    </w:r>
    <w:r>
      <w:rPr/>
      <w:pict>
        <v:shape style="position:absolute;margin-left:508.399994pt;margin-top:142.157806pt;width:59.8pt;height:10.95pt;mso-position-horizontal-relative:page;mso-position-vertical-relative:page;z-index:-252558336" type="#_x0000_t202" filled="false" stroked="false">
          <v:textbox inset="0,0,0,0">
            <w:txbxContent>
              <w:p>
                <w:pPr>
                  <w:spacing w:before="14"/>
                  <w:ind w:left="20" w:right="0" w:firstLine="0"/>
                  <w:jc w:val="left"/>
                  <w:rPr>
                    <w:sz w:val="16"/>
                  </w:rPr>
                </w:pPr>
                <w:r>
                  <w:rPr>
                    <w:sz w:val="16"/>
                  </w:rPr>
                  <w:t>Página:</w:t>
                </w:r>
                <w:r>
                  <w:rPr/>
                  <w:fldChar w:fldCharType="begin"/>
                </w:r>
                <w:r>
                  <w:rPr>
                    <w:sz w:val="16"/>
                  </w:rPr>
                  <w:instrText> PAGE </w:instrText>
                </w:r>
                <w:r>
                  <w:rPr/>
                  <w:fldChar w:fldCharType="separate"/>
                </w:r>
                <w:r>
                  <w:rPr/>
                  <w:t>11</w:t>
                </w:r>
                <w:r>
                  <w:rPr/>
                  <w:fldChar w:fldCharType="end"/>
                </w:r>
                <w:r>
                  <w:rPr>
                    <w:sz w:val="16"/>
                  </w:rPr>
                  <w:t> de 15</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762240">
          <wp:simplePos x="0" y="0"/>
          <wp:positionH relativeFrom="page">
            <wp:posOffset>2051050</wp:posOffset>
          </wp:positionH>
          <wp:positionV relativeFrom="page">
            <wp:posOffset>394970</wp:posOffset>
          </wp:positionV>
          <wp:extent cx="3809366" cy="1210309"/>
          <wp:effectExtent l="0" t="0" r="0" b="0"/>
          <wp:wrapNone/>
          <wp:docPr id="23" name="image1.jpeg"/>
          <wp:cNvGraphicFramePr>
            <a:graphicFrameLocks noChangeAspect="1"/>
          </wp:cNvGraphicFramePr>
          <a:graphic>
            <a:graphicData uri="http://schemas.openxmlformats.org/drawingml/2006/picture">
              <pic:pic>
                <pic:nvPicPr>
                  <pic:cNvPr id="24" name="image1.jpeg"/>
                  <pic:cNvPicPr/>
                </pic:nvPicPr>
                <pic:blipFill>
                  <a:blip r:embed="rId1" cstate="print"/>
                  <a:stretch>
                    <a:fillRect/>
                  </a:stretch>
                </pic:blipFill>
                <pic:spPr>
                  <a:xfrm>
                    <a:off x="0" y="0"/>
                    <a:ext cx="3809366" cy="1210309"/>
                  </a:xfrm>
                  <a:prstGeom prst="rect">
                    <a:avLst/>
                  </a:prstGeom>
                </pic:spPr>
              </pic:pic>
            </a:graphicData>
          </a:graphic>
        </wp:anchor>
      </w:drawing>
    </w:r>
    <w:r>
      <w:rPr/>
      <w:pict>
        <v:shape style="position:absolute;margin-left:507.799988pt;margin-top:142.157806pt;width:60.4pt;height:10.95pt;mso-position-horizontal-relative:page;mso-position-vertical-relative:page;z-index:-252553216" type="#_x0000_t202" filled="false" stroked="false">
          <v:textbox inset="0,0,0,0">
            <w:txbxContent>
              <w:p>
                <w:pPr>
                  <w:spacing w:before="14"/>
                  <w:ind w:left="20" w:right="0" w:firstLine="0"/>
                  <w:jc w:val="left"/>
                  <w:rPr>
                    <w:sz w:val="16"/>
                  </w:rPr>
                </w:pPr>
                <w:r>
                  <w:rPr>
                    <w:sz w:val="16"/>
                  </w:rPr>
                  <w:t>Página:</w:t>
                </w:r>
                <w:r>
                  <w:rPr/>
                  <w:fldChar w:fldCharType="begin"/>
                </w:r>
                <w:r>
                  <w:rPr>
                    <w:sz w:val="16"/>
                  </w:rPr>
                  <w:instrText> PAGE </w:instrText>
                </w:r>
                <w:r>
                  <w:rPr/>
                  <w:fldChar w:fldCharType="separate"/>
                </w:r>
                <w:r>
                  <w:rPr/>
                  <w:t>12</w:t>
                </w:r>
                <w:r>
                  <w:rPr/>
                  <w:fldChar w:fldCharType="end"/>
                </w:r>
                <w:r>
                  <w:rPr>
                    <w:sz w:val="16"/>
                  </w:rPr>
                  <w:t> de 15</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767360">
          <wp:simplePos x="0" y="0"/>
          <wp:positionH relativeFrom="page">
            <wp:posOffset>2051050</wp:posOffset>
          </wp:positionH>
          <wp:positionV relativeFrom="page">
            <wp:posOffset>394970</wp:posOffset>
          </wp:positionV>
          <wp:extent cx="3809366" cy="1210309"/>
          <wp:effectExtent l="0" t="0" r="0" b="0"/>
          <wp:wrapNone/>
          <wp:docPr id="25" name="image1.jpeg"/>
          <wp:cNvGraphicFramePr>
            <a:graphicFrameLocks noChangeAspect="1"/>
          </wp:cNvGraphicFramePr>
          <a:graphic>
            <a:graphicData uri="http://schemas.openxmlformats.org/drawingml/2006/picture">
              <pic:pic>
                <pic:nvPicPr>
                  <pic:cNvPr id="26" name="image1.jpeg"/>
                  <pic:cNvPicPr/>
                </pic:nvPicPr>
                <pic:blipFill>
                  <a:blip r:embed="rId1" cstate="print"/>
                  <a:stretch>
                    <a:fillRect/>
                  </a:stretch>
                </pic:blipFill>
                <pic:spPr>
                  <a:xfrm>
                    <a:off x="0" y="0"/>
                    <a:ext cx="3809366" cy="1210309"/>
                  </a:xfrm>
                  <a:prstGeom prst="rect">
                    <a:avLst/>
                  </a:prstGeom>
                </pic:spPr>
              </pic:pic>
            </a:graphicData>
          </a:graphic>
        </wp:anchor>
      </w:drawing>
    </w:r>
    <w:r>
      <w:rPr/>
      <w:pict>
        <v:shape style="position:absolute;margin-left:507.799988pt;margin-top:142.157806pt;width:60.4pt;height:10.95pt;mso-position-horizontal-relative:page;mso-position-vertical-relative:page;z-index:-252548096" type="#_x0000_t202" filled="false" stroked="false">
          <v:textbox inset="0,0,0,0">
            <w:txbxContent>
              <w:p>
                <w:pPr>
                  <w:spacing w:before="14"/>
                  <w:ind w:left="20" w:right="0" w:firstLine="0"/>
                  <w:jc w:val="left"/>
                  <w:rPr>
                    <w:sz w:val="16"/>
                  </w:rPr>
                </w:pPr>
                <w:r>
                  <w:rPr>
                    <w:sz w:val="16"/>
                  </w:rPr>
                  <w:t>Página:</w:t>
                </w:r>
                <w:r>
                  <w:rPr/>
                  <w:fldChar w:fldCharType="begin"/>
                </w:r>
                <w:r>
                  <w:rPr>
                    <w:sz w:val="16"/>
                  </w:rPr>
                  <w:instrText> PAGE </w:instrText>
                </w:r>
                <w:r>
                  <w:rPr/>
                  <w:fldChar w:fldCharType="separate"/>
                </w:r>
                <w:r>
                  <w:rPr/>
                  <w:t>13</w:t>
                </w:r>
                <w:r>
                  <w:rPr/>
                  <w:fldChar w:fldCharType="end"/>
                </w:r>
                <w:r>
                  <w:rPr>
                    <w:sz w:val="16"/>
                  </w:rPr>
                  <w:t> de 15</w:t>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772480">
          <wp:simplePos x="0" y="0"/>
          <wp:positionH relativeFrom="page">
            <wp:posOffset>2051050</wp:posOffset>
          </wp:positionH>
          <wp:positionV relativeFrom="page">
            <wp:posOffset>394970</wp:posOffset>
          </wp:positionV>
          <wp:extent cx="3809366" cy="1210309"/>
          <wp:effectExtent l="0" t="0" r="0" b="0"/>
          <wp:wrapNone/>
          <wp:docPr id="27" name="image1.jpeg"/>
          <wp:cNvGraphicFramePr>
            <a:graphicFrameLocks noChangeAspect="1"/>
          </wp:cNvGraphicFramePr>
          <a:graphic>
            <a:graphicData uri="http://schemas.openxmlformats.org/drawingml/2006/picture">
              <pic:pic>
                <pic:nvPicPr>
                  <pic:cNvPr id="28" name="image1.jpeg"/>
                  <pic:cNvPicPr/>
                </pic:nvPicPr>
                <pic:blipFill>
                  <a:blip r:embed="rId1" cstate="print"/>
                  <a:stretch>
                    <a:fillRect/>
                  </a:stretch>
                </pic:blipFill>
                <pic:spPr>
                  <a:xfrm>
                    <a:off x="0" y="0"/>
                    <a:ext cx="3809366" cy="1210309"/>
                  </a:xfrm>
                  <a:prstGeom prst="rect">
                    <a:avLst/>
                  </a:prstGeom>
                </pic:spPr>
              </pic:pic>
            </a:graphicData>
          </a:graphic>
        </wp:anchor>
      </w:drawing>
    </w:r>
    <w:r>
      <w:rPr/>
      <w:pict>
        <v:shape style="position:absolute;margin-left:507.799988pt;margin-top:142.157806pt;width:60.4pt;height:10.95pt;mso-position-horizontal-relative:page;mso-position-vertical-relative:page;z-index:-252542976" type="#_x0000_t202" filled="false" stroked="false">
          <v:textbox inset="0,0,0,0">
            <w:txbxContent>
              <w:p>
                <w:pPr>
                  <w:spacing w:before="14"/>
                  <w:ind w:left="20" w:right="0" w:firstLine="0"/>
                  <w:jc w:val="left"/>
                  <w:rPr>
                    <w:sz w:val="16"/>
                  </w:rPr>
                </w:pPr>
                <w:r>
                  <w:rPr>
                    <w:sz w:val="16"/>
                  </w:rPr>
                  <w:t>Página:</w:t>
                </w:r>
                <w:r>
                  <w:rPr/>
                  <w:fldChar w:fldCharType="begin"/>
                </w:r>
                <w:r>
                  <w:rPr>
                    <w:sz w:val="16"/>
                  </w:rPr>
                  <w:instrText> PAGE </w:instrText>
                </w:r>
                <w:r>
                  <w:rPr/>
                  <w:fldChar w:fldCharType="separate"/>
                </w:r>
                <w:r>
                  <w:rPr/>
                  <w:t>14</w:t>
                </w:r>
                <w:r>
                  <w:rPr/>
                  <w:fldChar w:fldCharType="end"/>
                </w:r>
                <w:r>
                  <w:rPr>
                    <w:sz w:val="16"/>
                  </w:rPr>
                  <w:t> de 15</w:t>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777600">
          <wp:simplePos x="0" y="0"/>
          <wp:positionH relativeFrom="page">
            <wp:posOffset>2051050</wp:posOffset>
          </wp:positionH>
          <wp:positionV relativeFrom="page">
            <wp:posOffset>394970</wp:posOffset>
          </wp:positionV>
          <wp:extent cx="3809366" cy="1210309"/>
          <wp:effectExtent l="0" t="0" r="0" b="0"/>
          <wp:wrapNone/>
          <wp:docPr id="29" name="image1.jpeg"/>
          <wp:cNvGraphicFramePr>
            <a:graphicFrameLocks noChangeAspect="1"/>
          </wp:cNvGraphicFramePr>
          <a:graphic>
            <a:graphicData uri="http://schemas.openxmlformats.org/drawingml/2006/picture">
              <pic:pic>
                <pic:nvPicPr>
                  <pic:cNvPr id="30" name="image1.jpeg"/>
                  <pic:cNvPicPr/>
                </pic:nvPicPr>
                <pic:blipFill>
                  <a:blip r:embed="rId1" cstate="print"/>
                  <a:stretch>
                    <a:fillRect/>
                  </a:stretch>
                </pic:blipFill>
                <pic:spPr>
                  <a:xfrm>
                    <a:off x="0" y="0"/>
                    <a:ext cx="3809366" cy="1210309"/>
                  </a:xfrm>
                  <a:prstGeom prst="rect">
                    <a:avLst/>
                  </a:prstGeom>
                </pic:spPr>
              </pic:pic>
            </a:graphicData>
          </a:graphic>
        </wp:anchor>
      </w:drawing>
    </w:r>
    <w:r>
      <w:rPr/>
      <w:pict>
        <v:shape style="position:absolute;margin-left:507.799988pt;margin-top:142.157806pt;width:60.4pt;height:10.95pt;mso-position-horizontal-relative:page;mso-position-vertical-relative:page;z-index:-252537856" type="#_x0000_t202" filled="false" stroked="false">
          <v:textbox inset="0,0,0,0">
            <w:txbxContent>
              <w:p>
                <w:pPr>
                  <w:spacing w:before="14"/>
                  <w:ind w:left="20" w:right="0" w:firstLine="0"/>
                  <w:jc w:val="left"/>
                  <w:rPr>
                    <w:sz w:val="16"/>
                  </w:rPr>
                </w:pPr>
                <w:r>
                  <w:rPr>
                    <w:sz w:val="16"/>
                  </w:rPr>
                  <w:t>Página:</w:t>
                </w:r>
                <w:r>
                  <w:rPr/>
                  <w:fldChar w:fldCharType="begin"/>
                </w:r>
                <w:r>
                  <w:rPr>
                    <w:sz w:val="16"/>
                  </w:rPr>
                  <w:instrText> PAGE </w:instrText>
                </w:r>
                <w:r>
                  <w:rPr/>
                  <w:fldChar w:fldCharType="separate"/>
                </w:r>
                <w:r>
                  <w:rPr/>
                  <w:t>15</w:t>
                </w:r>
                <w:r>
                  <w:rPr/>
                  <w:fldChar w:fldCharType="end"/>
                </w:r>
                <w:r>
                  <w:rPr>
                    <w:sz w:val="16"/>
                  </w:rPr>
                  <w:t> de 15</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711040">
          <wp:simplePos x="0" y="0"/>
          <wp:positionH relativeFrom="page">
            <wp:posOffset>2051050</wp:posOffset>
          </wp:positionH>
          <wp:positionV relativeFrom="page">
            <wp:posOffset>394970</wp:posOffset>
          </wp:positionV>
          <wp:extent cx="3809366" cy="1210309"/>
          <wp:effectExtent l="0" t="0" r="0" b="0"/>
          <wp:wrapNone/>
          <wp:docPr id="3" name="image1.jpeg"/>
          <wp:cNvGraphicFramePr>
            <a:graphicFrameLocks noChangeAspect="1"/>
          </wp:cNvGraphicFramePr>
          <a:graphic>
            <a:graphicData uri="http://schemas.openxmlformats.org/drawingml/2006/picture">
              <pic:pic>
                <pic:nvPicPr>
                  <pic:cNvPr id="4" name="image1.jpeg"/>
                  <pic:cNvPicPr/>
                </pic:nvPicPr>
                <pic:blipFill>
                  <a:blip r:embed="rId1" cstate="print"/>
                  <a:stretch>
                    <a:fillRect/>
                  </a:stretch>
                </pic:blipFill>
                <pic:spPr>
                  <a:xfrm>
                    <a:off x="0" y="0"/>
                    <a:ext cx="3809366" cy="1210309"/>
                  </a:xfrm>
                  <a:prstGeom prst="rect">
                    <a:avLst/>
                  </a:prstGeom>
                </pic:spPr>
              </pic:pic>
            </a:graphicData>
          </a:graphic>
        </wp:anchor>
      </w:drawing>
    </w:r>
    <w:r>
      <w:rPr/>
      <w:pict>
        <v:shape style="position:absolute;margin-left:512.299988pt;margin-top:142.157806pt;width:55.9pt;height:10.95pt;mso-position-horizontal-relative:page;mso-position-vertical-relative:page;z-index:-252604416" type="#_x0000_t202" filled="false" stroked="false">
          <v:textbox inset="0,0,0,0">
            <w:txbxContent>
              <w:p>
                <w:pPr>
                  <w:spacing w:before="14"/>
                  <w:ind w:left="20" w:right="0" w:firstLine="0"/>
                  <w:jc w:val="left"/>
                  <w:rPr>
                    <w:sz w:val="16"/>
                  </w:rPr>
                </w:pPr>
                <w:r>
                  <w:rPr>
                    <w:sz w:val="16"/>
                  </w:rPr>
                  <w:t>Página:</w:t>
                </w:r>
                <w:r>
                  <w:rPr/>
                  <w:fldChar w:fldCharType="begin"/>
                </w:r>
                <w:r>
                  <w:rPr>
                    <w:sz w:val="16"/>
                  </w:rPr>
                  <w:instrText> PAGE </w:instrText>
                </w:r>
                <w:r>
                  <w:rPr/>
                  <w:fldChar w:fldCharType="separate"/>
                </w:r>
                <w:r>
                  <w:rPr/>
                  <w:t>2</w:t>
                </w:r>
                <w:r>
                  <w:rPr/>
                  <w:fldChar w:fldCharType="end"/>
                </w:r>
                <w:r>
                  <w:rPr>
                    <w:sz w:val="16"/>
                  </w:rPr>
                  <w:t> de 15</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716160">
          <wp:simplePos x="0" y="0"/>
          <wp:positionH relativeFrom="page">
            <wp:posOffset>2051050</wp:posOffset>
          </wp:positionH>
          <wp:positionV relativeFrom="page">
            <wp:posOffset>394970</wp:posOffset>
          </wp:positionV>
          <wp:extent cx="3809366" cy="1210309"/>
          <wp:effectExtent l="0" t="0" r="0" b="0"/>
          <wp:wrapNone/>
          <wp:docPr id="5" name="image1.jpeg"/>
          <wp:cNvGraphicFramePr>
            <a:graphicFrameLocks noChangeAspect="1"/>
          </wp:cNvGraphicFramePr>
          <a:graphic>
            <a:graphicData uri="http://schemas.openxmlformats.org/drawingml/2006/picture">
              <pic:pic>
                <pic:nvPicPr>
                  <pic:cNvPr id="6" name="image1.jpeg"/>
                  <pic:cNvPicPr/>
                </pic:nvPicPr>
                <pic:blipFill>
                  <a:blip r:embed="rId1" cstate="print"/>
                  <a:stretch>
                    <a:fillRect/>
                  </a:stretch>
                </pic:blipFill>
                <pic:spPr>
                  <a:xfrm>
                    <a:off x="0" y="0"/>
                    <a:ext cx="3809366" cy="1210309"/>
                  </a:xfrm>
                  <a:prstGeom prst="rect">
                    <a:avLst/>
                  </a:prstGeom>
                </pic:spPr>
              </pic:pic>
            </a:graphicData>
          </a:graphic>
        </wp:anchor>
      </w:drawing>
    </w:r>
    <w:r>
      <w:rPr/>
      <w:pict>
        <v:shape style="position:absolute;margin-left:512.299988pt;margin-top:142.157806pt;width:55.9pt;height:10.95pt;mso-position-horizontal-relative:page;mso-position-vertical-relative:page;z-index:-252599296" type="#_x0000_t202" filled="false" stroked="false">
          <v:textbox inset="0,0,0,0">
            <w:txbxContent>
              <w:p>
                <w:pPr>
                  <w:spacing w:before="14"/>
                  <w:ind w:left="20" w:right="0" w:firstLine="0"/>
                  <w:jc w:val="left"/>
                  <w:rPr>
                    <w:sz w:val="16"/>
                  </w:rPr>
                </w:pPr>
                <w:r>
                  <w:rPr>
                    <w:sz w:val="16"/>
                  </w:rPr>
                  <w:t>Página:</w:t>
                </w:r>
                <w:r>
                  <w:rPr/>
                  <w:fldChar w:fldCharType="begin"/>
                </w:r>
                <w:r>
                  <w:rPr>
                    <w:sz w:val="16"/>
                  </w:rPr>
                  <w:instrText> PAGE </w:instrText>
                </w:r>
                <w:r>
                  <w:rPr/>
                  <w:fldChar w:fldCharType="separate"/>
                </w:r>
                <w:r>
                  <w:rPr/>
                  <w:t>3</w:t>
                </w:r>
                <w:r>
                  <w:rPr/>
                  <w:fldChar w:fldCharType="end"/>
                </w:r>
                <w:r>
                  <w:rPr>
                    <w:sz w:val="16"/>
                  </w:rPr>
                  <w:t> de 15</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721280">
          <wp:simplePos x="0" y="0"/>
          <wp:positionH relativeFrom="page">
            <wp:posOffset>2051050</wp:posOffset>
          </wp:positionH>
          <wp:positionV relativeFrom="page">
            <wp:posOffset>394970</wp:posOffset>
          </wp:positionV>
          <wp:extent cx="3809366" cy="1210309"/>
          <wp:effectExtent l="0" t="0" r="0" b="0"/>
          <wp:wrapNone/>
          <wp:docPr id="7" name="image1.jpeg"/>
          <wp:cNvGraphicFramePr>
            <a:graphicFrameLocks noChangeAspect="1"/>
          </wp:cNvGraphicFramePr>
          <a:graphic>
            <a:graphicData uri="http://schemas.openxmlformats.org/drawingml/2006/picture">
              <pic:pic>
                <pic:nvPicPr>
                  <pic:cNvPr id="8" name="image1.jpeg"/>
                  <pic:cNvPicPr/>
                </pic:nvPicPr>
                <pic:blipFill>
                  <a:blip r:embed="rId1" cstate="print"/>
                  <a:stretch>
                    <a:fillRect/>
                  </a:stretch>
                </pic:blipFill>
                <pic:spPr>
                  <a:xfrm>
                    <a:off x="0" y="0"/>
                    <a:ext cx="3809366" cy="1210309"/>
                  </a:xfrm>
                  <a:prstGeom prst="rect">
                    <a:avLst/>
                  </a:prstGeom>
                </pic:spPr>
              </pic:pic>
            </a:graphicData>
          </a:graphic>
        </wp:anchor>
      </w:drawing>
    </w:r>
    <w:r>
      <w:rPr/>
      <w:pict>
        <v:shape style="position:absolute;margin-left:512.299988pt;margin-top:142.157806pt;width:55.9pt;height:10.95pt;mso-position-horizontal-relative:page;mso-position-vertical-relative:page;z-index:-252594176" type="#_x0000_t202" filled="false" stroked="false">
          <v:textbox inset="0,0,0,0">
            <w:txbxContent>
              <w:p>
                <w:pPr>
                  <w:spacing w:before="14"/>
                  <w:ind w:left="20" w:right="0" w:firstLine="0"/>
                  <w:jc w:val="left"/>
                  <w:rPr>
                    <w:sz w:val="16"/>
                  </w:rPr>
                </w:pPr>
                <w:r>
                  <w:rPr>
                    <w:sz w:val="16"/>
                  </w:rPr>
                  <w:t>Página:</w:t>
                </w:r>
                <w:r>
                  <w:rPr/>
                  <w:fldChar w:fldCharType="begin"/>
                </w:r>
                <w:r>
                  <w:rPr>
                    <w:sz w:val="16"/>
                  </w:rPr>
                  <w:instrText> PAGE </w:instrText>
                </w:r>
                <w:r>
                  <w:rPr/>
                  <w:fldChar w:fldCharType="separate"/>
                </w:r>
                <w:r>
                  <w:rPr/>
                  <w:t>4</w:t>
                </w:r>
                <w:r>
                  <w:rPr/>
                  <w:fldChar w:fldCharType="end"/>
                </w:r>
                <w:r>
                  <w:rPr>
                    <w:sz w:val="16"/>
                  </w:rPr>
                  <w:t> de 15</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726400">
          <wp:simplePos x="0" y="0"/>
          <wp:positionH relativeFrom="page">
            <wp:posOffset>2051050</wp:posOffset>
          </wp:positionH>
          <wp:positionV relativeFrom="page">
            <wp:posOffset>394970</wp:posOffset>
          </wp:positionV>
          <wp:extent cx="3809366" cy="1210309"/>
          <wp:effectExtent l="0" t="0" r="0" b="0"/>
          <wp:wrapNone/>
          <wp:docPr id="9" name="image1.jpeg"/>
          <wp:cNvGraphicFramePr>
            <a:graphicFrameLocks noChangeAspect="1"/>
          </wp:cNvGraphicFramePr>
          <a:graphic>
            <a:graphicData uri="http://schemas.openxmlformats.org/drawingml/2006/picture">
              <pic:pic>
                <pic:nvPicPr>
                  <pic:cNvPr id="10" name="image1.jpeg"/>
                  <pic:cNvPicPr/>
                </pic:nvPicPr>
                <pic:blipFill>
                  <a:blip r:embed="rId1" cstate="print"/>
                  <a:stretch>
                    <a:fillRect/>
                  </a:stretch>
                </pic:blipFill>
                <pic:spPr>
                  <a:xfrm>
                    <a:off x="0" y="0"/>
                    <a:ext cx="3809366" cy="1210309"/>
                  </a:xfrm>
                  <a:prstGeom prst="rect">
                    <a:avLst/>
                  </a:prstGeom>
                </pic:spPr>
              </pic:pic>
            </a:graphicData>
          </a:graphic>
        </wp:anchor>
      </w:drawing>
    </w:r>
    <w:r>
      <w:rPr/>
      <w:pict>
        <v:shape style="position:absolute;margin-left:512.299988pt;margin-top:142.157806pt;width:55.9pt;height:10.95pt;mso-position-horizontal-relative:page;mso-position-vertical-relative:page;z-index:-252589056" type="#_x0000_t202" filled="false" stroked="false">
          <v:textbox inset="0,0,0,0">
            <w:txbxContent>
              <w:p>
                <w:pPr>
                  <w:spacing w:before="14"/>
                  <w:ind w:left="20" w:right="0" w:firstLine="0"/>
                  <w:jc w:val="left"/>
                  <w:rPr>
                    <w:sz w:val="16"/>
                  </w:rPr>
                </w:pPr>
                <w:r>
                  <w:rPr>
                    <w:sz w:val="16"/>
                  </w:rPr>
                  <w:t>Página:</w:t>
                </w:r>
                <w:r>
                  <w:rPr/>
                  <w:fldChar w:fldCharType="begin"/>
                </w:r>
                <w:r>
                  <w:rPr>
                    <w:sz w:val="16"/>
                  </w:rPr>
                  <w:instrText> PAGE </w:instrText>
                </w:r>
                <w:r>
                  <w:rPr/>
                  <w:fldChar w:fldCharType="separate"/>
                </w:r>
                <w:r>
                  <w:rPr/>
                  <w:t>5</w:t>
                </w:r>
                <w:r>
                  <w:rPr/>
                  <w:fldChar w:fldCharType="end"/>
                </w:r>
                <w:r>
                  <w:rPr>
                    <w:sz w:val="16"/>
                  </w:rPr>
                  <w:t> de 15</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731520">
          <wp:simplePos x="0" y="0"/>
          <wp:positionH relativeFrom="page">
            <wp:posOffset>2051050</wp:posOffset>
          </wp:positionH>
          <wp:positionV relativeFrom="page">
            <wp:posOffset>394970</wp:posOffset>
          </wp:positionV>
          <wp:extent cx="3809366" cy="1210309"/>
          <wp:effectExtent l="0" t="0" r="0" b="0"/>
          <wp:wrapNone/>
          <wp:docPr id="11" name="image1.jpeg"/>
          <wp:cNvGraphicFramePr>
            <a:graphicFrameLocks noChangeAspect="1"/>
          </wp:cNvGraphicFramePr>
          <a:graphic>
            <a:graphicData uri="http://schemas.openxmlformats.org/drawingml/2006/picture">
              <pic:pic>
                <pic:nvPicPr>
                  <pic:cNvPr id="12" name="image1.jpeg"/>
                  <pic:cNvPicPr/>
                </pic:nvPicPr>
                <pic:blipFill>
                  <a:blip r:embed="rId1" cstate="print"/>
                  <a:stretch>
                    <a:fillRect/>
                  </a:stretch>
                </pic:blipFill>
                <pic:spPr>
                  <a:xfrm>
                    <a:off x="0" y="0"/>
                    <a:ext cx="3809366" cy="1210309"/>
                  </a:xfrm>
                  <a:prstGeom prst="rect">
                    <a:avLst/>
                  </a:prstGeom>
                </pic:spPr>
              </pic:pic>
            </a:graphicData>
          </a:graphic>
        </wp:anchor>
      </w:drawing>
    </w:r>
    <w:r>
      <w:rPr/>
      <w:pict>
        <v:shape style="position:absolute;margin-left:512.299988pt;margin-top:142.157806pt;width:55.9pt;height:10.95pt;mso-position-horizontal-relative:page;mso-position-vertical-relative:page;z-index:-252583936" type="#_x0000_t202" filled="false" stroked="false">
          <v:textbox inset="0,0,0,0">
            <w:txbxContent>
              <w:p>
                <w:pPr>
                  <w:spacing w:before="14"/>
                  <w:ind w:left="20" w:right="0" w:firstLine="0"/>
                  <w:jc w:val="left"/>
                  <w:rPr>
                    <w:sz w:val="16"/>
                  </w:rPr>
                </w:pPr>
                <w:r>
                  <w:rPr>
                    <w:sz w:val="16"/>
                  </w:rPr>
                  <w:t>Página:</w:t>
                </w:r>
                <w:r>
                  <w:rPr/>
                  <w:fldChar w:fldCharType="begin"/>
                </w:r>
                <w:r>
                  <w:rPr>
                    <w:sz w:val="16"/>
                  </w:rPr>
                  <w:instrText> PAGE </w:instrText>
                </w:r>
                <w:r>
                  <w:rPr/>
                  <w:fldChar w:fldCharType="separate"/>
                </w:r>
                <w:r>
                  <w:rPr/>
                  <w:t>6</w:t>
                </w:r>
                <w:r>
                  <w:rPr/>
                  <w:fldChar w:fldCharType="end"/>
                </w:r>
                <w:r>
                  <w:rPr>
                    <w:sz w:val="16"/>
                  </w:rPr>
                  <w:t> de 15</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736640">
          <wp:simplePos x="0" y="0"/>
          <wp:positionH relativeFrom="page">
            <wp:posOffset>2051050</wp:posOffset>
          </wp:positionH>
          <wp:positionV relativeFrom="page">
            <wp:posOffset>394970</wp:posOffset>
          </wp:positionV>
          <wp:extent cx="3809366" cy="1210309"/>
          <wp:effectExtent l="0" t="0" r="0" b="0"/>
          <wp:wrapNone/>
          <wp:docPr id="13" name="image1.jpeg"/>
          <wp:cNvGraphicFramePr>
            <a:graphicFrameLocks noChangeAspect="1"/>
          </wp:cNvGraphicFramePr>
          <a:graphic>
            <a:graphicData uri="http://schemas.openxmlformats.org/drawingml/2006/picture">
              <pic:pic>
                <pic:nvPicPr>
                  <pic:cNvPr id="14" name="image1.jpeg"/>
                  <pic:cNvPicPr/>
                </pic:nvPicPr>
                <pic:blipFill>
                  <a:blip r:embed="rId1" cstate="print"/>
                  <a:stretch>
                    <a:fillRect/>
                  </a:stretch>
                </pic:blipFill>
                <pic:spPr>
                  <a:xfrm>
                    <a:off x="0" y="0"/>
                    <a:ext cx="3809366" cy="1210309"/>
                  </a:xfrm>
                  <a:prstGeom prst="rect">
                    <a:avLst/>
                  </a:prstGeom>
                </pic:spPr>
              </pic:pic>
            </a:graphicData>
          </a:graphic>
        </wp:anchor>
      </w:drawing>
    </w:r>
    <w:r>
      <w:rPr/>
      <w:pict>
        <v:shape style="position:absolute;margin-left:512.299988pt;margin-top:142.157806pt;width:55.9pt;height:10.95pt;mso-position-horizontal-relative:page;mso-position-vertical-relative:page;z-index:-252578816" type="#_x0000_t202" filled="false" stroked="false">
          <v:textbox inset="0,0,0,0">
            <w:txbxContent>
              <w:p>
                <w:pPr>
                  <w:spacing w:before="14"/>
                  <w:ind w:left="20" w:right="0" w:firstLine="0"/>
                  <w:jc w:val="left"/>
                  <w:rPr>
                    <w:sz w:val="16"/>
                  </w:rPr>
                </w:pPr>
                <w:r>
                  <w:rPr>
                    <w:sz w:val="16"/>
                  </w:rPr>
                  <w:t>Página:</w:t>
                </w:r>
                <w:r>
                  <w:rPr/>
                  <w:fldChar w:fldCharType="begin"/>
                </w:r>
                <w:r>
                  <w:rPr>
                    <w:sz w:val="16"/>
                  </w:rPr>
                  <w:instrText> PAGE </w:instrText>
                </w:r>
                <w:r>
                  <w:rPr/>
                  <w:fldChar w:fldCharType="separate"/>
                </w:r>
                <w:r>
                  <w:rPr/>
                  <w:t>7</w:t>
                </w:r>
                <w:r>
                  <w:rPr/>
                  <w:fldChar w:fldCharType="end"/>
                </w:r>
                <w:r>
                  <w:rPr>
                    <w:sz w:val="16"/>
                  </w:rPr>
                  <w:t> de 15</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741760">
          <wp:simplePos x="0" y="0"/>
          <wp:positionH relativeFrom="page">
            <wp:posOffset>2051050</wp:posOffset>
          </wp:positionH>
          <wp:positionV relativeFrom="page">
            <wp:posOffset>394970</wp:posOffset>
          </wp:positionV>
          <wp:extent cx="3809366" cy="1210309"/>
          <wp:effectExtent l="0" t="0" r="0" b="0"/>
          <wp:wrapNone/>
          <wp:docPr id="15" name="image1.jpeg"/>
          <wp:cNvGraphicFramePr>
            <a:graphicFrameLocks noChangeAspect="1"/>
          </wp:cNvGraphicFramePr>
          <a:graphic>
            <a:graphicData uri="http://schemas.openxmlformats.org/drawingml/2006/picture">
              <pic:pic>
                <pic:nvPicPr>
                  <pic:cNvPr id="16" name="image1.jpeg"/>
                  <pic:cNvPicPr/>
                </pic:nvPicPr>
                <pic:blipFill>
                  <a:blip r:embed="rId1" cstate="print"/>
                  <a:stretch>
                    <a:fillRect/>
                  </a:stretch>
                </pic:blipFill>
                <pic:spPr>
                  <a:xfrm>
                    <a:off x="0" y="0"/>
                    <a:ext cx="3809366" cy="1210309"/>
                  </a:xfrm>
                  <a:prstGeom prst="rect">
                    <a:avLst/>
                  </a:prstGeom>
                </pic:spPr>
              </pic:pic>
            </a:graphicData>
          </a:graphic>
        </wp:anchor>
      </w:drawing>
    </w:r>
    <w:r>
      <w:rPr/>
      <w:pict>
        <v:shape style="position:absolute;margin-left:512.299988pt;margin-top:142.157806pt;width:55.9pt;height:10.95pt;mso-position-horizontal-relative:page;mso-position-vertical-relative:page;z-index:-252573696" type="#_x0000_t202" filled="false" stroked="false">
          <v:textbox inset="0,0,0,0">
            <w:txbxContent>
              <w:p>
                <w:pPr>
                  <w:spacing w:before="14"/>
                  <w:ind w:left="20" w:right="0" w:firstLine="0"/>
                  <w:jc w:val="left"/>
                  <w:rPr>
                    <w:sz w:val="16"/>
                  </w:rPr>
                </w:pPr>
                <w:r>
                  <w:rPr>
                    <w:sz w:val="16"/>
                  </w:rPr>
                  <w:t>Página:</w:t>
                </w:r>
                <w:r>
                  <w:rPr/>
                  <w:fldChar w:fldCharType="begin"/>
                </w:r>
                <w:r>
                  <w:rPr>
                    <w:sz w:val="16"/>
                  </w:rPr>
                  <w:instrText> PAGE </w:instrText>
                </w:r>
                <w:r>
                  <w:rPr/>
                  <w:fldChar w:fldCharType="separate"/>
                </w:r>
                <w:r>
                  <w:rPr/>
                  <w:t>8</w:t>
                </w:r>
                <w:r>
                  <w:rPr/>
                  <w:fldChar w:fldCharType="end"/>
                </w:r>
                <w:r>
                  <w:rPr>
                    <w:sz w:val="16"/>
                  </w:rPr>
                  <w:t> de 15</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746880">
          <wp:simplePos x="0" y="0"/>
          <wp:positionH relativeFrom="page">
            <wp:posOffset>2051050</wp:posOffset>
          </wp:positionH>
          <wp:positionV relativeFrom="page">
            <wp:posOffset>394970</wp:posOffset>
          </wp:positionV>
          <wp:extent cx="3809366" cy="1210309"/>
          <wp:effectExtent l="0" t="0" r="0" b="0"/>
          <wp:wrapNone/>
          <wp:docPr id="17" name="image1.jpeg"/>
          <wp:cNvGraphicFramePr>
            <a:graphicFrameLocks noChangeAspect="1"/>
          </wp:cNvGraphicFramePr>
          <a:graphic>
            <a:graphicData uri="http://schemas.openxmlformats.org/drawingml/2006/picture">
              <pic:pic>
                <pic:nvPicPr>
                  <pic:cNvPr id="18" name="image1.jpeg"/>
                  <pic:cNvPicPr/>
                </pic:nvPicPr>
                <pic:blipFill>
                  <a:blip r:embed="rId1" cstate="print"/>
                  <a:stretch>
                    <a:fillRect/>
                  </a:stretch>
                </pic:blipFill>
                <pic:spPr>
                  <a:xfrm>
                    <a:off x="0" y="0"/>
                    <a:ext cx="3809366" cy="1210309"/>
                  </a:xfrm>
                  <a:prstGeom prst="rect">
                    <a:avLst/>
                  </a:prstGeom>
                </pic:spPr>
              </pic:pic>
            </a:graphicData>
          </a:graphic>
        </wp:anchor>
      </w:drawing>
    </w:r>
    <w:r>
      <w:rPr/>
      <w:pict>
        <v:shape style="position:absolute;margin-left:512.299988pt;margin-top:142.157806pt;width:55.9pt;height:10.95pt;mso-position-horizontal-relative:page;mso-position-vertical-relative:page;z-index:-252568576" type="#_x0000_t202" filled="false" stroked="false">
          <v:textbox inset="0,0,0,0">
            <w:txbxContent>
              <w:p>
                <w:pPr>
                  <w:spacing w:before="14"/>
                  <w:ind w:left="20" w:right="0" w:firstLine="0"/>
                  <w:jc w:val="left"/>
                  <w:rPr>
                    <w:sz w:val="16"/>
                  </w:rPr>
                </w:pPr>
                <w:r>
                  <w:rPr>
                    <w:sz w:val="16"/>
                  </w:rPr>
                  <w:t>Página:</w:t>
                </w:r>
                <w:r>
                  <w:rPr/>
                  <w:fldChar w:fldCharType="begin"/>
                </w:r>
                <w:r>
                  <w:rPr>
                    <w:sz w:val="16"/>
                  </w:rPr>
                  <w:instrText> PAGE </w:instrText>
                </w:r>
                <w:r>
                  <w:rPr/>
                  <w:fldChar w:fldCharType="separate"/>
                </w:r>
                <w:r>
                  <w:rPr/>
                  <w:t>9</w:t>
                </w:r>
                <w:r>
                  <w:rPr/>
                  <w:fldChar w:fldCharType="end"/>
                </w:r>
                <w:r>
                  <w:rPr>
                    <w:sz w:val="16"/>
                  </w:rPr>
                  <w:t> de 15</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1"/>
      <w:numFmt w:val="lowerLetter"/>
      <w:lvlText w:val="%1)"/>
      <w:lvlJc w:val="left"/>
      <w:pPr>
        <w:ind w:left="2770" w:hanging="258"/>
        <w:jc w:val="left"/>
      </w:pPr>
      <w:rPr>
        <w:rFonts w:hint="default" w:ascii="Arial" w:hAnsi="Arial" w:eastAsia="Arial" w:cs="Arial"/>
        <w:b/>
        <w:bCs/>
        <w:w w:val="100"/>
        <w:sz w:val="24"/>
        <w:szCs w:val="24"/>
        <w:lang w:val="pt-br" w:eastAsia="pt-br" w:bidi="pt-br"/>
      </w:rPr>
    </w:lvl>
    <w:lvl w:ilvl="1">
      <w:start w:val="0"/>
      <w:numFmt w:val="bullet"/>
      <w:lvlText w:val="•"/>
      <w:lvlJc w:val="left"/>
      <w:pPr>
        <w:ind w:left="3598" w:hanging="258"/>
      </w:pPr>
      <w:rPr>
        <w:rFonts w:hint="default"/>
        <w:lang w:val="pt-br" w:eastAsia="pt-br" w:bidi="pt-br"/>
      </w:rPr>
    </w:lvl>
    <w:lvl w:ilvl="2">
      <w:start w:val="0"/>
      <w:numFmt w:val="bullet"/>
      <w:lvlText w:val="•"/>
      <w:lvlJc w:val="left"/>
      <w:pPr>
        <w:ind w:left="4416" w:hanging="258"/>
      </w:pPr>
      <w:rPr>
        <w:rFonts w:hint="default"/>
        <w:lang w:val="pt-br" w:eastAsia="pt-br" w:bidi="pt-br"/>
      </w:rPr>
    </w:lvl>
    <w:lvl w:ilvl="3">
      <w:start w:val="0"/>
      <w:numFmt w:val="bullet"/>
      <w:lvlText w:val="•"/>
      <w:lvlJc w:val="left"/>
      <w:pPr>
        <w:ind w:left="5234" w:hanging="258"/>
      </w:pPr>
      <w:rPr>
        <w:rFonts w:hint="default"/>
        <w:lang w:val="pt-br" w:eastAsia="pt-br" w:bidi="pt-br"/>
      </w:rPr>
    </w:lvl>
    <w:lvl w:ilvl="4">
      <w:start w:val="0"/>
      <w:numFmt w:val="bullet"/>
      <w:lvlText w:val="•"/>
      <w:lvlJc w:val="left"/>
      <w:pPr>
        <w:ind w:left="6052" w:hanging="258"/>
      </w:pPr>
      <w:rPr>
        <w:rFonts w:hint="default"/>
        <w:lang w:val="pt-br" w:eastAsia="pt-br" w:bidi="pt-br"/>
      </w:rPr>
    </w:lvl>
    <w:lvl w:ilvl="5">
      <w:start w:val="0"/>
      <w:numFmt w:val="bullet"/>
      <w:lvlText w:val="•"/>
      <w:lvlJc w:val="left"/>
      <w:pPr>
        <w:ind w:left="6870" w:hanging="258"/>
      </w:pPr>
      <w:rPr>
        <w:rFonts w:hint="default"/>
        <w:lang w:val="pt-br" w:eastAsia="pt-br" w:bidi="pt-br"/>
      </w:rPr>
    </w:lvl>
    <w:lvl w:ilvl="6">
      <w:start w:val="0"/>
      <w:numFmt w:val="bullet"/>
      <w:lvlText w:val="•"/>
      <w:lvlJc w:val="left"/>
      <w:pPr>
        <w:ind w:left="7688" w:hanging="258"/>
      </w:pPr>
      <w:rPr>
        <w:rFonts w:hint="default"/>
        <w:lang w:val="pt-br" w:eastAsia="pt-br" w:bidi="pt-br"/>
      </w:rPr>
    </w:lvl>
    <w:lvl w:ilvl="7">
      <w:start w:val="0"/>
      <w:numFmt w:val="bullet"/>
      <w:lvlText w:val="•"/>
      <w:lvlJc w:val="left"/>
      <w:pPr>
        <w:ind w:left="8506" w:hanging="258"/>
      </w:pPr>
      <w:rPr>
        <w:rFonts w:hint="default"/>
        <w:lang w:val="pt-br" w:eastAsia="pt-br" w:bidi="pt-br"/>
      </w:rPr>
    </w:lvl>
    <w:lvl w:ilvl="8">
      <w:start w:val="0"/>
      <w:numFmt w:val="bullet"/>
      <w:lvlText w:val="•"/>
      <w:lvlJc w:val="left"/>
      <w:pPr>
        <w:ind w:left="9324" w:hanging="258"/>
      </w:pPr>
      <w:rPr>
        <w:rFonts w:hint="default"/>
        <w:lang w:val="pt-br" w:eastAsia="pt-br" w:bidi="pt-br"/>
      </w:rPr>
    </w:lvl>
  </w:abstractNum>
  <w:abstractNum w:abstractNumId="9">
    <w:multiLevelType w:val="hybridMultilevel"/>
    <w:lvl w:ilvl="0">
      <w:start w:val="1"/>
      <w:numFmt w:val="lowerLetter"/>
      <w:lvlText w:val="%1)"/>
      <w:lvlJc w:val="left"/>
      <w:pPr>
        <w:ind w:left="2062" w:hanging="710"/>
        <w:jc w:val="left"/>
      </w:pPr>
      <w:rPr>
        <w:rFonts w:hint="default" w:ascii="Arial" w:hAnsi="Arial" w:eastAsia="Arial" w:cs="Arial"/>
        <w:b/>
        <w:bCs/>
        <w:spacing w:val="-2"/>
        <w:w w:val="100"/>
        <w:sz w:val="24"/>
        <w:szCs w:val="24"/>
        <w:lang w:val="pt-br" w:eastAsia="pt-br" w:bidi="pt-br"/>
      </w:rPr>
    </w:lvl>
    <w:lvl w:ilvl="1">
      <w:start w:val="0"/>
      <w:numFmt w:val="bullet"/>
      <w:lvlText w:val="•"/>
      <w:lvlJc w:val="left"/>
      <w:pPr>
        <w:ind w:left="2950" w:hanging="710"/>
      </w:pPr>
      <w:rPr>
        <w:rFonts w:hint="default"/>
        <w:lang w:val="pt-br" w:eastAsia="pt-br" w:bidi="pt-br"/>
      </w:rPr>
    </w:lvl>
    <w:lvl w:ilvl="2">
      <w:start w:val="0"/>
      <w:numFmt w:val="bullet"/>
      <w:lvlText w:val="•"/>
      <w:lvlJc w:val="left"/>
      <w:pPr>
        <w:ind w:left="3840" w:hanging="710"/>
      </w:pPr>
      <w:rPr>
        <w:rFonts w:hint="default"/>
        <w:lang w:val="pt-br" w:eastAsia="pt-br" w:bidi="pt-br"/>
      </w:rPr>
    </w:lvl>
    <w:lvl w:ilvl="3">
      <w:start w:val="0"/>
      <w:numFmt w:val="bullet"/>
      <w:lvlText w:val="•"/>
      <w:lvlJc w:val="left"/>
      <w:pPr>
        <w:ind w:left="4730" w:hanging="710"/>
      </w:pPr>
      <w:rPr>
        <w:rFonts w:hint="default"/>
        <w:lang w:val="pt-br" w:eastAsia="pt-br" w:bidi="pt-br"/>
      </w:rPr>
    </w:lvl>
    <w:lvl w:ilvl="4">
      <w:start w:val="0"/>
      <w:numFmt w:val="bullet"/>
      <w:lvlText w:val="•"/>
      <w:lvlJc w:val="left"/>
      <w:pPr>
        <w:ind w:left="5620" w:hanging="710"/>
      </w:pPr>
      <w:rPr>
        <w:rFonts w:hint="default"/>
        <w:lang w:val="pt-br" w:eastAsia="pt-br" w:bidi="pt-br"/>
      </w:rPr>
    </w:lvl>
    <w:lvl w:ilvl="5">
      <w:start w:val="0"/>
      <w:numFmt w:val="bullet"/>
      <w:lvlText w:val="•"/>
      <w:lvlJc w:val="left"/>
      <w:pPr>
        <w:ind w:left="6510" w:hanging="710"/>
      </w:pPr>
      <w:rPr>
        <w:rFonts w:hint="default"/>
        <w:lang w:val="pt-br" w:eastAsia="pt-br" w:bidi="pt-br"/>
      </w:rPr>
    </w:lvl>
    <w:lvl w:ilvl="6">
      <w:start w:val="0"/>
      <w:numFmt w:val="bullet"/>
      <w:lvlText w:val="•"/>
      <w:lvlJc w:val="left"/>
      <w:pPr>
        <w:ind w:left="7400" w:hanging="710"/>
      </w:pPr>
      <w:rPr>
        <w:rFonts w:hint="default"/>
        <w:lang w:val="pt-br" w:eastAsia="pt-br" w:bidi="pt-br"/>
      </w:rPr>
    </w:lvl>
    <w:lvl w:ilvl="7">
      <w:start w:val="0"/>
      <w:numFmt w:val="bullet"/>
      <w:lvlText w:val="•"/>
      <w:lvlJc w:val="left"/>
      <w:pPr>
        <w:ind w:left="8290" w:hanging="710"/>
      </w:pPr>
      <w:rPr>
        <w:rFonts w:hint="default"/>
        <w:lang w:val="pt-br" w:eastAsia="pt-br" w:bidi="pt-br"/>
      </w:rPr>
    </w:lvl>
    <w:lvl w:ilvl="8">
      <w:start w:val="0"/>
      <w:numFmt w:val="bullet"/>
      <w:lvlText w:val="•"/>
      <w:lvlJc w:val="left"/>
      <w:pPr>
        <w:ind w:left="9180" w:hanging="710"/>
      </w:pPr>
      <w:rPr>
        <w:rFonts w:hint="default"/>
        <w:lang w:val="pt-br" w:eastAsia="pt-br" w:bidi="pt-br"/>
      </w:rPr>
    </w:lvl>
  </w:abstractNum>
  <w:abstractNum w:abstractNumId="19">
    <w:multiLevelType w:val="hybridMultilevel"/>
    <w:lvl w:ilvl="0">
      <w:start w:val="19"/>
      <w:numFmt w:val="decimal"/>
      <w:lvlText w:val="%1"/>
      <w:lvlJc w:val="left"/>
      <w:pPr>
        <w:ind w:left="636" w:hanging="708"/>
        <w:jc w:val="left"/>
      </w:pPr>
      <w:rPr>
        <w:rFonts w:hint="default"/>
        <w:lang w:val="pt-br" w:eastAsia="pt-br" w:bidi="pt-br"/>
      </w:rPr>
    </w:lvl>
    <w:lvl w:ilvl="1">
      <w:start w:val="1"/>
      <w:numFmt w:val="decimal"/>
      <w:lvlText w:val="%1.%2)"/>
      <w:lvlJc w:val="left"/>
      <w:pPr>
        <w:ind w:left="636" w:hanging="708"/>
        <w:jc w:val="left"/>
      </w:pPr>
      <w:rPr>
        <w:rFonts w:hint="default" w:ascii="Arial" w:hAnsi="Arial" w:eastAsia="Arial" w:cs="Arial"/>
        <w:b/>
        <w:bCs/>
        <w:spacing w:val="-29"/>
        <w:w w:val="100"/>
        <w:sz w:val="24"/>
        <w:szCs w:val="24"/>
        <w:lang w:val="pt-br" w:eastAsia="pt-br" w:bidi="pt-br"/>
      </w:rPr>
    </w:lvl>
    <w:lvl w:ilvl="2">
      <w:start w:val="0"/>
      <w:numFmt w:val="bullet"/>
      <w:lvlText w:val="•"/>
      <w:lvlJc w:val="left"/>
      <w:pPr>
        <w:ind w:left="2704" w:hanging="708"/>
      </w:pPr>
      <w:rPr>
        <w:rFonts w:hint="default"/>
        <w:lang w:val="pt-br" w:eastAsia="pt-br" w:bidi="pt-br"/>
      </w:rPr>
    </w:lvl>
    <w:lvl w:ilvl="3">
      <w:start w:val="0"/>
      <w:numFmt w:val="bullet"/>
      <w:lvlText w:val="•"/>
      <w:lvlJc w:val="left"/>
      <w:pPr>
        <w:ind w:left="3736" w:hanging="708"/>
      </w:pPr>
      <w:rPr>
        <w:rFonts w:hint="default"/>
        <w:lang w:val="pt-br" w:eastAsia="pt-br" w:bidi="pt-br"/>
      </w:rPr>
    </w:lvl>
    <w:lvl w:ilvl="4">
      <w:start w:val="0"/>
      <w:numFmt w:val="bullet"/>
      <w:lvlText w:val="•"/>
      <w:lvlJc w:val="left"/>
      <w:pPr>
        <w:ind w:left="4768" w:hanging="708"/>
      </w:pPr>
      <w:rPr>
        <w:rFonts w:hint="default"/>
        <w:lang w:val="pt-br" w:eastAsia="pt-br" w:bidi="pt-br"/>
      </w:rPr>
    </w:lvl>
    <w:lvl w:ilvl="5">
      <w:start w:val="0"/>
      <w:numFmt w:val="bullet"/>
      <w:lvlText w:val="•"/>
      <w:lvlJc w:val="left"/>
      <w:pPr>
        <w:ind w:left="5800" w:hanging="708"/>
      </w:pPr>
      <w:rPr>
        <w:rFonts w:hint="default"/>
        <w:lang w:val="pt-br" w:eastAsia="pt-br" w:bidi="pt-br"/>
      </w:rPr>
    </w:lvl>
    <w:lvl w:ilvl="6">
      <w:start w:val="0"/>
      <w:numFmt w:val="bullet"/>
      <w:lvlText w:val="•"/>
      <w:lvlJc w:val="left"/>
      <w:pPr>
        <w:ind w:left="6832" w:hanging="708"/>
      </w:pPr>
      <w:rPr>
        <w:rFonts w:hint="default"/>
        <w:lang w:val="pt-br" w:eastAsia="pt-br" w:bidi="pt-br"/>
      </w:rPr>
    </w:lvl>
    <w:lvl w:ilvl="7">
      <w:start w:val="0"/>
      <w:numFmt w:val="bullet"/>
      <w:lvlText w:val="•"/>
      <w:lvlJc w:val="left"/>
      <w:pPr>
        <w:ind w:left="7864" w:hanging="708"/>
      </w:pPr>
      <w:rPr>
        <w:rFonts w:hint="default"/>
        <w:lang w:val="pt-br" w:eastAsia="pt-br" w:bidi="pt-br"/>
      </w:rPr>
    </w:lvl>
    <w:lvl w:ilvl="8">
      <w:start w:val="0"/>
      <w:numFmt w:val="bullet"/>
      <w:lvlText w:val="•"/>
      <w:lvlJc w:val="left"/>
      <w:pPr>
        <w:ind w:left="8896" w:hanging="708"/>
      </w:pPr>
      <w:rPr>
        <w:rFonts w:hint="default"/>
        <w:lang w:val="pt-br" w:eastAsia="pt-br" w:bidi="pt-br"/>
      </w:rPr>
    </w:lvl>
  </w:abstractNum>
  <w:abstractNum w:abstractNumId="18">
    <w:multiLevelType w:val="hybridMultilevel"/>
    <w:lvl w:ilvl="0">
      <w:start w:val="16"/>
      <w:numFmt w:val="decimal"/>
      <w:lvlText w:val="%1"/>
      <w:lvlJc w:val="left"/>
      <w:pPr>
        <w:ind w:left="636" w:hanging="616"/>
        <w:jc w:val="left"/>
      </w:pPr>
      <w:rPr>
        <w:rFonts w:hint="default"/>
        <w:lang w:val="pt-br" w:eastAsia="pt-br" w:bidi="pt-br"/>
      </w:rPr>
    </w:lvl>
    <w:lvl w:ilvl="1">
      <w:start w:val="1"/>
      <w:numFmt w:val="decimal"/>
      <w:lvlText w:val="%1.%2)"/>
      <w:lvlJc w:val="left"/>
      <w:pPr>
        <w:ind w:left="636" w:hanging="616"/>
        <w:jc w:val="left"/>
      </w:pPr>
      <w:rPr>
        <w:rFonts w:hint="default" w:ascii="Arial" w:hAnsi="Arial" w:eastAsia="Arial" w:cs="Arial"/>
        <w:b/>
        <w:bCs/>
        <w:spacing w:val="-2"/>
        <w:w w:val="100"/>
        <w:sz w:val="24"/>
        <w:szCs w:val="24"/>
        <w:lang w:val="pt-br" w:eastAsia="pt-br" w:bidi="pt-br"/>
      </w:rPr>
    </w:lvl>
    <w:lvl w:ilvl="2">
      <w:start w:val="0"/>
      <w:numFmt w:val="bullet"/>
      <w:lvlText w:val="•"/>
      <w:lvlJc w:val="left"/>
      <w:pPr>
        <w:ind w:left="3031" w:hanging="616"/>
      </w:pPr>
      <w:rPr>
        <w:rFonts w:hint="default"/>
        <w:lang w:val="pt-br" w:eastAsia="pt-br" w:bidi="pt-br"/>
      </w:rPr>
    </w:lvl>
    <w:lvl w:ilvl="3">
      <w:start w:val="0"/>
      <w:numFmt w:val="bullet"/>
      <w:lvlText w:val="•"/>
      <w:lvlJc w:val="left"/>
      <w:pPr>
        <w:ind w:left="4022" w:hanging="616"/>
      </w:pPr>
      <w:rPr>
        <w:rFonts w:hint="default"/>
        <w:lang w:val="pt-br" w:eastAsia="pt-br" w:bidi="pt-br"/>
      </w:rPr>
    </w:lvl>
    <w:lvl w:ilvl="4">
      <w:start w:val="0"/>
      <w:numFmt w:val="bullet"/>
      <w:lvlText w:val="•"/>
      <w:lvlJc w:val="left"/>
      <w:pPr>
        <w:ind w:left="5013" w:hanging="616"/>
      </w:pPr>
      <w:rPr>
        <w:rFonts w:hint="default"/>
        <w:lang w:val="pt-br" w:eastAsia="pt-br" w:bidi="pt-br"/>
      </w:rPr>
    </w:lvl>
    <w:lvl w:ilvl="5">
      <w:start w:val="0"/>
      <w:numFmt w:val="bullet"/>
      <w:lvlText w:val="•"/>
      <w:lvlJc w:val="left"/>
      <w:pPr>
        <w:ind w:left="6004" w:hanging="616"/>
      </w:pPr>
      <w:rPr>
        <w:rFonts w:hint="default"/>
        <w:lang w:val="pt-br" w:eastAsia="pt-br" w:bidi="pt-br"/>
      </w:rPr>
    </w:lvl>
    <w:lvl w:ilvl="6">
      <w:start w:val="0"/>
      <w:numFmt w:val="bullet"/>
      <w:lvlText w:val="•"/>
      <w:lvlJc w:val="left"/>
      <w:pPr>
        <w:ind w:left="6995" w:hanging="616"/>
      </w:pPr>
      <w:rPr>
        <w:rFonts w:hint="default"/>
        <w:lang w:val="pt-br" w:eastAsia="pt-br" w:bidi="pt-br"/>
      </w:rPr>
    </w:lvl>
    <w:lvl w:ilvl="7">
      <w:start w:val="0"/>
      <w:numFmt w:val="bullet"/>
      <w:lvlText w:val="•"/>
      <w:lvlJc w:val="left"/>
      <w:pPr>
        <w:ind w:left="7986" w:hanging="616"/>
      </w:pPr>
      <w:rPr>
        <w:rFonts w:hint="default"/>
        <w:lang w:val="pt-br" w:eastAsia="pt-br" w:bidi="pt-br"/>
      </w:rPr>
    </w:lvl>
    <w:lvl w:ilvl="8">
      <w:start w:val="0"/>
      <w:numFmt w:val="bullet"/>
      <w:lvlText w:val="•"/>
      <w:lvlJc w:val="left"/>
      <w:pPr>
        <w:ind w:left="8977" w:hanging="616"/>
      </w:pPr>
      <w:rPr>
        <w:rFonts w:hint="default"/>
        <w:lang w:val="pt-br" w:eastAsia="pt-br" w:bidi="pt-br"/>
      </w:rPr>
    </w:lvl>
  </w:abstractNum>
  <w:abstractNum w:abstractNumId="17">
    <w:multiLevelType w:val="hybridMultilevel"/>
    <w:lvl w:ilvl="0">
      <w:start w:val="15"/>
      <w:numFmt w:val="decimal"/>
      <w:lvlText w:val="%1"/>
      <w:lvlJc w:val="left"/>
      <w:pPr>
        <w:ind w:left="636" w:hanging="630"/>
        <w:jc w:val="left"/>
      </w:pPr>
      <w:rPr>
        <w:rFonts w:hint="default"/>
        <w:lang w:val="pt-br" w:eastAsia="pt-br" w:bidi="pt-br"/>
      </w:rPr>
    </w:lvl>
    <w:lvl w:ilvl="1">
      <w:start w:val="1"/>
      <w:numFmt w:val="decimal"/>
      <w:lvlText w:val="%1.%2)"/>
      <w:lvlJc w:val="left"/>
      <w:pPr>
        <w:ind w:left="636" w:hanging="630"/>
        <w:jc w:val="left"/>
      </w:pPr>
      <w:rPr>
        <w:rFonts w:hint="default" w:ascii="Arial" w:hAnsi="Arial" w:eastAsia="Arial" w:cs="Arial"/>
        <w:b/>
        <w:bCs/>
        <w:spacing w:val="-2"/>
        <w:w w:val="100"/>
        <w:sz w:val="24"/>
        <w:szCs w:val="24"/>
        <w:lang w:val="pt-br" w:eastAsia="pt-br" w:bidi="pt-br"/>
      </w:rPr>
    </w:lvl>
    <w:lvl w:ilvl="2">
      <w:start w:val="0"/>
      <w:numFmt w:val="bullet"/>
      <w:lvlText w:val="•"/>
      <w:lvlJc w:val="left"/>
      <w:pPr>
        <w:ind w:left="3031" w:hanging="630"/>
      </w:pPr>
      <w:rPr>
        <w:rFonts w:hint="default"/>
        <w:lang w:val="pt-br" w:eastAsia="pt-br" w:bidi="pt-br"/>
      </w:rPr>
    </w:lvl>
    <w:lvl w:ilvl="3">
      <w:start w:val="0"/>
      <w:numFmt w:val="bullet"/>
      <w:lvlText w:val="•"/>
      <w:lvlJc w:val="left"/>
      <w:pPr>
        <w:ind w:left="4022" w:hanging="630"/>
      </w:pPr>
      <w:rPr>
        <w:rFonts w:hint="default"/>
        <w:lang w:val="pt-br" w:eastAsia="pt-br" w:bidi="pt-br"/>
      </w:rPr>
    </w:lvl>
    <w:lvl w:ilvl="4">
      <w:start w:val="0"/>
      <w:numFmt w:val="bullet"/>
      <w:lvlText w:val="•"/>
      <w:lvlJc w:val="left"/>
      <w:pPr>
        <w:ind w:left="5013" w:hanging="630"/>
      </w:pPr>
      <w:rPr>
        <w:rFonts w:hint="default"/>
        <w:lang w:val="pt-br" w:eastAsia="pt-br" w:bidi="pt-br"/>
      </w:rPr>
    </w:lvl>
    <w:lvl w:ilvl="5">
      <w:start w:val="0"/>
      <w:numFmt w:val="bullet"/>
      <w:lvlText w:val="•"/>
      <w:lvlJc w:val="left"/>
      <w:pPr>
        <w:ind w:left="6004" w:hanging="630"/>
      </w:pPr>
      <w:rPr>
        <w:rFonts w:hint="default"/>
        <w:lang w:val="pt-br" w:eastAsia="pt-br" w:bidi="pt-br"/>
      </w:rPr>
    </w:lvl>
    <w:lvl w:ilvl="6">
      <w:start w:val="0"/>
      <w:numFmt w:val="bullet"/>
      <w:lvlText w:val="•"/>
      <w:lvlJc w:val="left"/>
      <w:pPr>
        <w:ind w:left="6995" w:hanging="630"/>
      </w:pPr>
      <w:rPr>
        <w:rFonts w:hint="default"/>
        <w:lang w:val="pt-br" w:eastAsia="pt-br" w:bidi="pt-br"/>
      </w:rPr>
    </w:lvl>
    <w:lvl w:ilvl="7">
      <w:start w:val="0"/>
      <w:numFmt w:val="bullet"/>
      <w:lvlText w:val="•"/>
      <w:lvlJc w:val="left"/>
      <w:pPr>
        <w:ind w:left="7986" w:hanging="630"/>
      </w:pPr>
      <w:rPr>
        <w:rFonts w:hint="default"/>
        <w:lang w:val="pt-br" w:eastAsia="pt-br" w:bidi="pt-br"/>
      </w:rPr>
    </w:lvl>
    <w:lvl w:ilvl="8">
      <w:start w:val="0"/>
      <w:numFmt w:val="bullet"/>
      <w:lvlText w:val="•"/>
      <w:lvlJc w:val="left"/>
      <w:pPr>
        <w:ind w:left="8977" w:hanging="630"/>
      </w:pPr>
      <w:rPr>
        <w:rFonts w:hint="default"/>
        <w:lang w:val="pt-br" w:eastAsia="pt-br" w:bidi="pt-br"/>
      </w:rPr>
    </w:lvl>
  </w:abstractNum>
  <w:abstractNum w:abstractNumId="16">
    <w:multiLevelType w:val="hybridMultilevel"/>
    <w:lvl w:ilvl="0">
      <w:start w:val="13"/>
      <w:numFmt w:val="decimal"/>
      <w:lvlText w:val="%1"/>
      <w:lvlJc w:val="left"/>
      <w:pPr>
        <w:ind w:left="636" w:hanging="684"/>
        <w:jc w:val="left"/>
      </w:pPr>
      <w:rPr>
        <w:rFonts w:hint="default"/>
        <w:lang w:val="pt-br" w:eastAsia="pt-br" w:bidi="pt-br"/>
      </w:rPr>
    </w:lvl>
    <w:lvl w:ilvl="1">
      <w:start w:val="1"/>
      <w:numFmt w:val="decimal"/>
      <w:lvlText w:val="%1.%2)"/>
      <w:lvlJc w:val="left"/>
      <w:pPr>
        <w:ind w:left="636" w:hanging="684"/>
        <w:jc w:val="left"/>
      </w:pPr>
      <w:rPr>
        <w:rFonts w:hint="default" w:ascii="Arial" w:hAnsi="Arial" w:eastAsia="Arial" w:cs="Arial"/>
        <w:b/>
        <w:bCs/>
        <w:spacing w:val="-27"/>
        <w:w w:val="100"/>
        <w:sz w:val="24"/>
        <w:szCs w:val="24"/>
        <w:lang w:val="pt-br" w:eastAsia="pt-br" w:bidi="pt-br"/>
      </w:rPr>
    </w:lvl>
    <w:lvl w:ilvl="2">
      <w:start w:val="1"/>
      <w:numFmt w:val="upperRoman"/>
      <w:lvlText w:val="%3"/>
      <w:lvlJc w:val="left"/>
      <w:pPr>
        <w:ind w:left="2046" w:hanging="204"/>
        <w:jc w:val="left"/>
      </w:pPr>
      <w:rPr>
        <w:rFonts w:hint="default" w:ascii="Arial" w:hAnsi="Arial" w:eastAsia="Arial" w:cs="Arial"/>
        <w:b/>
        <w:bCs/>
        <w:spacing w:val="-18"/>
        <w:w w:val="100"/>
        <w:sz w:val="24"/>
        <w:szCs w:val="24"/>
        <w:lang w:val="pt-br" w:eastAsia="pt-br" w:bidi="pt-br"/>
      </w:rPr>
    </w:lvl>
    <w:lvl w:ilvl="3">
      <w:start w:val="1"/>
      <w:numFmt w:val="lowerLetter"/>
      <w:lvlText w:val="%4)"/>
      <w:lvlJc w:val="left"/>
      <w:pPr>
        <w:ind w:left="2062" w:hanging="258"/>
        <w:jc w:val="left"/>
      </w:pPr>
      <w:rPr>
        <w:rFonts w:hint="default" w:ascii="Arial" w:hAnsi="Arial" w:eastAsia="Arial" w:cs="Arial"/>
        <w:b/>
        <w:bCs/>
        <w:w w:val="100"/>
        <w:sz w:val="24"/>
        <w:szCs w:val="24"/>
        <w:lang w:val="pt-br" w:eastAsia="pt-br" w:bidi="pt-br"/>
      </w:rPr>
    </w:lvl>
    <w:lvl w:ilvl="4">
      <w:start w:val="0"/>
      <w:numFmt w:val="bullet"/>
      <w:lvlText w:val="•"/>
      <w:lvlJc w:val="left"/>
      <w:pPr>
        <w:ind w:left="4285" w:hanging="258"/>
      </w:pPr>
      <w:rPr>
        <w:rFonts w:hint="default"/>
        <w:lang w:val="pt-br" w:eastAsia="pt-br" w:bidi="pt-br"/>
      </w:rPr>
    </w:lvl>
    <w:lvl w:ilvl="5">
      <w:start w:val="0"/>
      <w:numFmt w:val="bullet"/>
      <w:lvlText w:val="•"/>
      <w:lvlJc w:val="left"/>
      <w:pPr>
        <w:ind w:left="5397" w:hanging="258"/>
      </w:pPr>
      <w:rPr>
        <w:rFonts w:hint="default"/>
        <w:lang w:val="pt-br" w:eastAsia="pt-br" w:bidi="pt-br"/>
      </w:rPr>
    </w:lvl>
    <w:lvl w:ilvl="6">
      <w:start w:val="0"/>
      <w:numFmt w:val="bullet"/>
      <w:lvlText w:val="•"/>
      <w:lvlJc w:val="left"/>
      <w:pPr>
        <w:ind w:left="6510" w:hanging="258"/>
      </w:pPr>
      <w:rPr>
        <w:rFonts w:hint="default"/>
        <w:lang w:val="pt-br" w:eastAsia="pt-br" w:bidi="pt-br"/>
      </w:rPr>
    </w:lvl>
    <w:lvl w:ilvl="7">
      <w:start w:val="0"/>
      <w:numFmt w:val="bullet"/>
      <w:lvlText w:val="•"/>
      <w:lvlJc w:val="left"/>
      <w:pPr>
        <w:ind w:left="7622" w:hanging="258"/>
      </w:pPr>
      <w:rPr>
        <w:rFonts w:hint="default"/>
        <w:lang w:val="pt-br" w:eastAsia="pt-br" w:bidi="pt-br"/>
      </w:rPr>
    </w:lvl>
    <w:lvl w:ilvl="8">
      <w:start w:val="0"/>
      <w:numFmt w:val="bullet"/>
      <w:lvlText w:val="•"/>
      <w:lvlJc w:val="left"/>
      <w:pPr>
        <w:ind w:left="8735" w:hanging="258"/>
      </w:pPr>
      <w:rPr>
        <w:rFonts w:hint="default"/>
        <w:lang w:val="pt-br" w:eastAsia="pt-br" w:bidi="pt-br"/>
      </w:rPr>
    </w:lvl>
  </w:abstractNum>
  <w:abstractNum w:abstractNumId="15">
    <w:multiLevelType w:val="hybridMultilevel"/>
    <w:lvl w:ilvl="0">
      <w:start w:val="12"/>
      <w:numFmt w:val="decimal"/>
      <w:lvlText w:val="%1"/>
      <w:lvlJc w:val="left"/>
      <w:pPr>
        <w:ind w:left="636" w:hanging="630"/>
        <w:jc w:val="left"/>
      </w:pPr>
      <w:rPr>
        <w:rFonts w:hint="default"/>
        <w:lang w:val="pt-br" w:eastAsia="pt-br" w:bidi="pt-br"/>
      </w:rPr>
    </w:lvl>
    <w:lvl w:ilvl="1">
      <w:start w:val="1"/>
      <w:numFmt w:val="decimal"/>
      <w:lvlText w:val="%1.%2)"/>
      <w:lvlJc w:val="left"/>
      <w:pPr>
        <w:ind w:left="636" w:hanging="630"/>
        <w:jc w:val="left"/>
      </w:pPr>
      <w:rPr>
        <w:rFonts w:hint="default" w:ascii="Arial" w:hAnsi="Arial" w:eastAsia="Arial" w:cs="Arial"/>
        <w:b/>
        <w:bCs/>
        <w:spacing w:val="-2"/>
        <w:w w:val="100"/>
        <w:sz w:val="24"/>
        <w:szCs w:val="24"/>
        <w:lang w:val="pt-br" w:eastAsia="pt-br" w:bidi="pt-br"/>
      </w:rPr>
    </w:lvl>
    <w:lvl w:ilvl="2">
      <w:start w:val="1"/>
      <w:numFmt w:val="upperRoman"/>
      <w:lvlText w:val="%3"/>
      <w:lvlJc w:val="left"/>
      <w:pPr>
        <w:ind w:left="2046" w:hanging="192"/>
        <w:jc w:val="left"/>
      </w:pPr>
      <w:rPr>
        <w:rFonts w:hint="default" w:ascii="Arial" w:hAnsi="Arial" w:eastAsia="Arial" w:cs="Arial"/>
        <w:b/>
        <w:bCs/>
        <w:spacing w:val="-34"/>
        <w:w w:val="100"/>
        <w:sz w:val="24"/>
        <w:szCs w:val="24"/>
        <w:lang w:val="pt-br" w:eastAsia="pt-br" w:bidi="pt-br"/>
      </w:rPr>
    </w:lvl>
    <w:lvl w:ilvl="3">
      <w:start w:val="0"/>
      <w:numFmt w:val="bullet"/>
      <w:lvlText w:val="•"/>
      <w:lvlJc w:val="left"/>
      <w:pPr>
        <w:ind w:left="4022" w:hanging="192"/>
      </w:pPr>
      <w:rPr>
        <w:rFonts w:hint="default"/>
        <w:lang w:val="pt-br" w:eastAsia="pt-br" w:bidi="pt-br"/>
      </w:rPr>
    </w:lvl>
    <w:lvl w:ilvl="4">
      <w:start w:val="0"/>
      <w:numFmt w:val="bullet"/>
      <w:lvlText w:val="•"/>
      <w:lvlJc w:val="left"/>
      <w:pPr>
        <w:ind w:left="5013" w:hanging="192"/>
      </w:pPr>
      <w:rPr>
        <w:rFonts w:hint="default"/>
        <w:lang w:val="pt-br" w:eastAsia="pt-br" w:bidi="pt-br"/>
      </w:rPr>
    </w:lvl>
    <w:lvl w:ilvl="5">
      <w:start w:val="0"/>
      <w:numFmt w:val="bullet"/>
      <w:lvlText w:val="•"/>
      <w:lvlJc w:val="left"/>
      <w:pPr>
        <w:ind w:left="6004" w:hanging="192"/>
      </w:pPr>
      <w:rPr>
        <w:rFonts w:hint="default"/>
        <w:lang w:val="pt-br" w:eastAsia="pt-br" w:bidi="pt-br"/>
      </w:rPr>
    </w:lvl>
    <w:lvl w:ilvl="6">
      <w:start w:val="0"/>
      <w:numFmt w:val="bullet"/>
      <w:lvlText w:val="•"/>
      <w:lvlJc w:val="left"/>
      <w:pPr>
        <w:ind w:left="6995" w:hanging="192"/>
      </w:pPr>
      <w:rPr>
        <w:rFonts w:hint="default"/>
        <w:lang w:val="pt-br" w:eastAsia="pt-br" w:bidi="pt-br"/>
      </w:rPr>
    </w:lvl>
    <w:lvl w:ilvl="7">
      <w:start w:val="0"/>
      <w:numFmt w:val="bullet"/>
      <w:lvlText w:val="•"/>
      <w:lvlJc w:val="left"/>
      <w:pPr>
        <w:ind w:left="7986" w:hanging="192"/>
      </w:pPr>
      <w:rPr>
        <w:rFonts w:hint="default"/>
        <w:lang w:val="pt-br" w:eastAsia="pt-br" w:bidi="pt-br"/>
      </w:rPr>
    </w:lvl>
    <w:lvl w:ilvl="8">
      <w:start w:val="0"/>
      <w:numFmt w:val="bullet"/>
      <w:lvlText w:val="•"/>
      <w:lvlJc w:val="left"/>
      <w:pPr>
        <w:ind w:left="8977" w:hanging="192"/>
      </w:pPr>
      <w:rPr>
        <w:rFonts w:hint="default"/>
        <w:lang w:val="pt-br" w:eastAsia="pt-br" w:bidi="pt-br"/>
      </w:rPr>
    </w:lvl>
  </w:abstractNum>
  <w:abstractNum w:abstractNumId="13">
    <w:multiLevelType w:val="hybridMultilevel"/>
    <w:lvl w:ilvl="0">
      <w:start w:val="1"/>
      <w:numFmt w:val="upperRoman"/>
      <w:lvlText w:val="%1"/>
      <w:lvlJc w:val="left"/>
      <w:pPr>
        <w:ind w:left="2046" w:hanging="164"/>
        <w:jc w:val="left"/>
      </w:pPr>
      <w:rPr>
        <w:rFonts w:hint="default" w:ascii="Arial" w:hAnsi="Arial" w:eastAsia="Arial" w:cs="Arial"/>
        <w:b/>
        <w:bCs/>
        <w:w w:val="100"/>
        <w:sz w:val="24"/>
        <w:szCs w:val="24"/>
        <w:lang w:val="pt-br" w:eastAsia="pt-br" w:bidi="pt-br"/>
      </w:rPr>
    </w:lvl>
    <w:lvl w:ilvl="1">
      <w:start w:val="0"/>
      <w:numFmt w:val="bullet"/>
      <w:lvlText w:val="•"/>
      <w:lvlJc w:val="left"/>
      <w:pPr>
        <w:ind w:left="2932" w:hanging="164"/>
      </w:pPr>
      <w:rPr>
        <w:rFonts w:hint="default"/>
        <w:lang w:val="pt-br" w:eastAsia="pt-br" w:bidi="pt-br"/>
      </w:rPr>
    </w:lvl>
    <w:lvl w:ilvl="2">
      <w:start w:val="0"/>
      <w:numFmt w:val="bullet"/>
      <w:lvlText w:val="•"/>
      <w:lvlJc w:val="left"/>
      <w:pPr>
        <w:ind w:left="3824" w:hanging="164"/>
      </w:pPr>
      <w:rPr>
        <w:rFonts w:hint="default"/>
        <w:lang w:val="pt-br" w:eastAsia="pt-br" w:bidi="pt-br"/>
      </w:rPr>
    </w:lvl>
    <w:lvl w:ilvl="3">
      <w:start w:val="0"/>
      <w:numFmt w:val="bullet"/>
      <w:lvlText w:val="•"/>
      <w:lvlJc w:val="left"/>
      <w:pPr>
        <w:ind w:left="4716" w:hanging="164"/>
      </w:pPr>
      <w:rPr>
        <w:rFonts w:hint="default"/>
        <w:lang w:val="pt-br" w:eastAsia="pt-br" w:bidi="pt-br"/>
      </w:rPr>
    </w:lvl>
    <w:lvl w:ilvl="4">
      <w:start w:val="0"/>
      <w:numFmt w:val="bullet"/>
      <w:lvlText w:val="•"/>
      <w:lvlJc w:val="left"/>
      <w:pPr>
        <w:ind w:left="5608" w:hanging="164"/>
      </w:pPr>
      <w:rPr>
        <w:rFonts w:hint="default"/>
        <w:lang w:val="pt-br" w:eastAsia="pt-br" w:bidi="pt-br"/>
      </w:rPr>
    </w:lvl>
    <w:lvl w:ilvl="5">
      <w:start w:val="0"/>
      <w:numFmt w:val="bullet"/>
      <w:lvlText w:val="•"/>
      <w:lvlJc w:val="left"/>
      <w:pPr>
        <w:ind w:left="6500" w:hanging="164"/>
      </w:pPr>
      <w:rPr>
        <w:rFonts w:hint="default"/>
        <w:lang w:val="pt-br" w:eastAsia="pt-br" w:bidi="pt-br"/>
      </w:rPr>
    </w:lvl>
    <w:lvl w:ilvl="6">
      <w:start w:val="0"/>
      <w:numFmt w:val="bullet"/>
      <w:lvlText w:val="•"/>
      <w:lvlJc w:val="left"/>
      <w:pPr>
        <w:ind w:left="7392" w:hanging="164"/>
      </w:pPr>
      <w:rPr>
        <w:rFonts w:hint="default"/>
        <w:lang w:val="pt-br" w:eastAsia="pt-br" w:bidi="pt-br"/>
      </w:rPr>
    </w:lvl>
    <w:lvl w:ilvl="7">
      <w:start w:val="0"/>
      <w:numFmt w:val="bullet"/>
      <w:lvlText w:val="•"/>
      <w:lvlJc w:val="left"/>
      <w:pPr>
        <w:ind w:left="8284" w:hanging="164"/>
      </w:pPr>
      <w:rPr>
        <w:rFonts w:hint="default"/>
        <w:lang w:val="pt-br" w:eastAsia="pt-br" w:bidi="pt-br"/>
      </w:rPr>
    </w:lvl>
    <w:lvl w:ilvl="8">
      <w:start w:val="0"/>
      <w:numFmt w:val="bullet"/>
      <w:lvlText w:val="•"/>
      <w:lvlJc w:val="left"/>
      <w:pPr>
        <w:ind w:left="9176" w:hanging="164"/>
      </w:pPr>
      <w:rPr>
        <w:rFonts w:hint="default"/>
        <w:lang w:val="pt-br" w:eastAsia="pt-br" w:bidi="pt-br"/>
      </w:rPr>
    </w:lvl>
  </w:abstractNum>
  <w:abstractNum w:abstractNumId="12">
    <w:multiLevelType w:val="hybridMultilevel"/>
    <w:lvl w:ilvl="0">
      <w:start w:val="1"/>
      <w:numFmt w:val="upperRoman"/>
      <w:lvlText w:val="%1"/>
      <w:lvlJc w:val="left"/>
      <w:pPr>
        <w:ind w:left="2179" w:hanging="134"/>
        <w:jc w:val="left"/>
      </w:pPr>
      <w:rPr>
        <w:rFonts w:hint="default" w:ascii="Arial" w:hAnsi="Arial" w:eastAsia="Arial" w:cs="Arial"/>
        <w:b/>
        <w:bCs/>
        <w:spacing w:val="-2"/>
        <w:w w:val="100"/>
        <w:sz w:val="24"/>
        <w:szCs w:val="24"/>
        <w:lang w:val="pt-br" w:eastAsia="pt-br" w:bidi="pt-br"/>
      </w:rPr>
    </w:lvl>
    <w:lvl w:ilvl="1">
      <w:start w:val="0"/>
      <w:numFmt w:val="bullet"/>
      <w:lvlText w:val="•"/>
      <w:lvlJc w:val="left"/>
      <w:pPr>
        <w:ind w:left="3058" w:hanging="134"/>
      </w:pPr>
      <w:rPr>
        <w:rFonts w:hint="default"/>
        <w:lang w:val="pt-br" w:eastAsia="pt-br" w:bidi="pt-br"/>
      </w:rPr>
    </w:lvl>
    <w:lvl w:ilvl="2">
      <w:start w:val="0"/>
      <w:numFmt w:val="bullet"/>
      <w:lvlText w:val="•"/>
      <w:lvlJc w:val="left"/>
      <w:pPr>
        <w:ind w:left="3936" w:hanging="134"/>
      </w:pPr>
      <w:rPr>
        <w:rFonts w:hint="default"/>
        <w:lang w:val="pt-br" w:eastAsia="pt-br" w:bidi="pt-br"/>
      </w:rPr>
    </w:lvl>
    <w:lvl w:ilvl="3">
      <w:start w:val="0"/>
      <w:numFmt w:val="bullet"/>
      <w:lvlText w:val="•"/>
      <w:lvlJc w:val="left"/>
      <w:pPr>
        <w:ind w:left="4814" w:hanging="134"/>
      </w:pPr>
      <w:rPr>
        <w:rFonts w:hint="default"/>
        <w:lang w:val="pt-br" w:eastAsia="pt-br" w:bidi="pt-br"/>
      </w:rPr>
    </w:lvl>
    <w:lvl w:ilvl="4">
      <w:start w:val="0"/>
      <w:numFmt w:val="bullet"/>
      <w:lvlText w:val="•"/>
      <w:lvlJc w:val="left"/>
      <w:pPr>
        <w:ind w:left="5692" w:hanging="134"/>
      </w:pPr>
      <w:rPr>
        <w:rFonts w:hint="default"/>
        <w:lang w:val="pt-br" w:eastAsia="pt-br" w:bidi="pt-br"/>
      </w:rPr>
    </w:lvl>
    <w:lvl w:ilvl="5">
      <w:start w:val="0"/>
      <w:numFmt w:val="bullet"/>
      <w:lvlText w:val="•"/>
      <w:lvlJc w:val="left"/>
      <w:pPr>
        <w:ind w:left="6570" w:hanging="134"/>
      </w:pPr>
      <w:rPr>
        <w:rFonts w:hint="default"/>
        <w:lang w:val="pt-br" w:eastAsia="pt-br" w:bidi="pt-br"/>
      </w:rPr>
    </w:lvl>
    <w:lvl w:ilvl="6">
      <w:start w:val="0"/>
      <w:numFmt w:val="bullet"/>
      <w:lvlText w:val="•"/>
      <w:lvlJc w:val="left"/>
      <w:pPr>
        <w:ind w:left="7448" w:hanging="134"/>
      </w:pPr>
      <w:rPr>
        <w:rFonts w:hint="default"/>
        <w:lang w:val="pt-br" w:eastAsia="pt-br" w:bidi="pt-br"/>
      </w:rPr>
    </w:lvl>
    <w:lvl w:ilvl="7">
      <w:start w:val="0"/>
      <w:numFmt w:val="bullet"/>
      <w:lvlText w:val="•"/>
      <w:lvlJc w:val="left"/>
      <w:pPr>
        <w:ind w:left="8326" w:hanging="134"/>
      </w:pPr>
      <w:rPr>
        <w:rFonts w:hint="default"/>
        <w:lang w:val="pt-br" w:eastAsia="pt-br" w:bidi="pt-br"/>
      </w:rPr>
    </w:lvl>
    <w:lvl w:ilvl="8">
      <w:start w:val="0"/>
      <w:numFmt w:val="bullet"/>
      <w:lvlText w:val="•"/>
      <w:lvlJc w:val="left"/>
      <w:pPr>
        <w:ind w:left="9204" w:hanging="134"/>
      </w:pPr>
      <w:rPr>
        <w:rFonts w:hint="default"/>
        <w:lang w:val="pt-br" w:eastAsia="pt-br" w:bidi="pt-br"/>
      </w:rPr>
    </w:lvl>
  </w:abstractNum>
  <w:abstractNum w:abstractNumId="11">
    <w:multiLevelType w:val="hybridMultilevel"/>
    <w:lvl w:ilvl="0">
      <w:start w:val="1"/>
      <w:numFmt w:val="upperRoman"/>
      <w:lvlText w:val="%1"/>
      <w:lvlJc w:val="left"/>
      <w:pPr>
        <w:ind w:left="2046" w:hanging="210"/>
        <w:jc w:val="left"/>
      </w:pPr>
      <w:rPr>
        <w:rFonts w:hint="default" w:ascii="Arial" w:hAnsi="Arial" w:eastAsia="Arial" w:cs="Arial"/>
        <w:b/>
        <w:bCs/>
        <w:spacing w:val="-25"/>
        <w:w w:val="100"/>
        <w:sz w:val="24"/>
        <w:szCs w:val="24"/>
        <w:lang w:val="pt-br" w:eastAsia="pt-br" w:bidi="pt-br"/>
      </w:rPr>
    </w:lvl>
    <w:lvl w:ilvl="1">
      <w:start w:val="0"/>
      <w:numFmt w:val="bullet"/>
      <w:lvlText w:val="•"/>
      <w:lvlJc w:val="left"/>
      <w:pPr>
        <w:ind w:left="2932" w:hanging="210"/>
      </w:pPr>
      <w:rPr>
        <w:rFonts w:hint="default"/>
        <w:lang w:val="pt-br" w:eastAsia="pt-br" w:bidi="pt-br"/>
      </w:rPr>
    </w:lvl>
    <w:lvl w:ilvl="2">
      <w:start w:val="0"/>
      <w:numFmt w:val="bullet"/>
      <w:lvlText w:val="•"/>
      <w:lvlJc w:val="left"/>
      <w:pPr>
        <w:ind w:left="3824" w:hanging="210"/>
      </w:pPr>
      <w:rPr>
        <w:rFonts w:hint="default"/>
        <w:lang w:val="pt-br" w:eastAsia="pt-br" w:bidi="pt-br"/>
      </w:rPr>
    </w:lvl>
    <w:lvl w:ilvl="3">
      <w:start w:val="0"/>
      <w:numFmt w:val="bullet"/>
      <w:lvlText w:val="•"/>
      <w:lvlJc w:val="left"/>
      <w:pPr>
        <w:ind w:left="4716" w:hanging="210"/>
      </w:pPr>
      <w:rPr>
        <w:rFonts w:hint="default"/>
        <w:lang w:val="pt-br" w:eastAsia="pt-br" w:bidi="pt-br"/>
      </w:rPr>
    </w:lvl>
    <w:lvl w:ilvl="4">
      <w:start w:val="0"/>
      <w:numFmt w:val="bullet"/>
      <w:lvlText w:val="•"/>
      <w:lvlJc w:val="left"/>
      <w:pPr>
        <w:ind w:left="5608" w:hanging="210"/>
      </w:pPr>
      <w:rPr>
        <w:rFonts w:hint="default"/>
        <w:lang w:val="pt-br" w:eastAsia="pt-br" w:bidi="pt-br"/>
      </w:rPr>
    </w:lvl>
    <w:lvl w:ilvl="5">
      <w:start w:val="0"/>
      <w:numFmt w:val="bullet"/>
      <w:lvlText w:val="•"/>
      <w:lvlJc w:val="left"/>
      <w:pPr>
        <w:ind w:left="6500" w:hanging="210"/>
      </w:pPr>
      <w:rPr>
        <w:rFonts w:hint="default"/>
        <w:lang w:val="pt-br" w:eastAsia="pt-br" w:bidi="pt-br"/>
      </w:rPr>
    </w:lvl>
    <w:lvl w:ilvl="6">
      <w:start w:val="0"/>
      <w:numFmt w:val="bullet"/>
      <w:lvlText w:val="•"/>
      <w:lvlJc w:val="left"/>
      <w:pPr>
        <w:ind w:left="7392" w:hanging="210"/>
      </w:pPr>
      <w:rPr>
        <w:rFonts w:hint="default"/>
        <w:lang w:val="pt-br" w:eastAsia="pt-br" w:bidi="pt-br"/>
      </w:rPr>
    </w:lvl>
    <w:lvl w:ilvl="7">
      <w:start w:val="0"/>
      <w:numFmt w:val="bullet"/>
      <w:lvlText w:val="•"/>
      <w:lvlJc w:val="left"/>
      <w:pPr>
        <w:ind w:left="8284" w:hanging="210"/>
      </w:pPr>
      <w:rPr>
        <w:rFonts w:hint="default"/>
        <w:lang w:val="pt-br" w:eastAsia="pt-br" w:bidi="pt-br"/>
      </w:rPr>
    </w:lvl>
    <w:lvl w:ilvl="8">
      <w:start w:val="0"/>
      <w:numFmt w:val="bullet"/>
      <w:lvlText w:val="•"/>
      <w:lvlJc w:val="left"/>
      <w:pPr>
        <w:ind w:left="9176" w:hanging="210"/>
      </w:pPr>
      <w:rPr>
        <w:rFonts w:hint="default"/>
        <w:lang w:val="pt-br" w:eastAsia="pt-br" w:bidi="pt-br"/>
      </w:rPr>
    </w:lvl>
  </w:abstractNum>
  <w:abstractNum w:abstractNumId="10">
    <w:multiLevelType w:val="hybridMultilevel"/>
    <w:lvl w:ilvl="0">
      <w:start w:val="4"/>
      <w:numFmt w:val="upperRoman"/>
      <w:lvlText w:val="%1"/>
      <w:lvlJc w:val="left"/>
      <w:pPr>
        <w:ind w:left="2340" w:hanging="294"/>
        <w:jc w:val="left"/>
      </w:pPr>
      <w:rPr>
        <w:rFonts w:hint="default" w:ascii="Arial" w:hAnsi="Arial" w:eastAsia="Arial" w:cs="Arial"/>
        <w:b/>
        <w:bCs/>
        <w:spacing w:val="-1"/>
        <w:w w:val="100"/>
        <w:sz w:val="24"/>
        <w:szCs w:val="24"/>
        <w:lang w:val="pt-br" w:eastAsia="pt-br" w:bidi="pt-br"/>
      </w:rPr>
    </w:lvl>
    <w:lvl w:ilvl="1">
      <w:start w:val="0"/>
      <w:numFmt w:val="bullet"/>
      <w:lvlText w:val="•"/>
      <w:lvlJc w:val="left"/>
      <w:pPr>
        <w:ind w:left="3202" w:hanging="294"/>
      </w:pPr>
      <w:rPr>
        <w:rFonts w:hint="default"/>
        <w:lang w:val="pt-br" w:eastAsia="pt-br" w:bidi="pt-br"/>
      </w:rPr>
    </w:lvl>
    <w:lvl w:ilvl="2">
      <w:start w:val="0"/>
      <w:numFmt w:val="bullet"/>
      <w:lvlText w:val="•"/>
      <w:lvlJc w:val="left"/>
      <w:pPr>
        <w:ind w:left="4064" w:hanging="294"/>
      </w:pPr>
      <w:rPr>
        <w:rFonts w:hint="default"/>
        <w:lang w:val="pt-br" w:eastAsia="pt-br" w:bidi="pt-br"/>
      </w:rPr>
    </w:lvl>
    <w:lvl w:ilvl="3">
      <w:start w:val="0"/>
      <w:numFmt w:val="bullet"/>
      <w:lvlText w:val="•"/>
      <w:lvlJc w:val="left"/>
      <w:pPr>
        <w:ind w:left="4926" w:hanging="294"/>
      </w:pPr>
      <w:rPr>
        <w:rFonts w:hint="default"/>
        <w:lang w:val="pt-br" w:eastAsia="pt-br" w:bidi="pt-br"/>
      </w:rPr>
    </w:lvl>
    <w:lvl w:ilvl="4">
      <w:start w:val="0"/>
      <w:numFmt w:val="bullet"/>
      <w:lvlText w:val="•"/>
      <w:lvlJc w:val="left"/>
      <w:pPr>
        <w:ind w:left="5788" w:hanging="294"/>
      </w:pPr>
      <w:rPr>
        <w:rFonts w:hint="default"/>
        <w:lang w:val="pt-br" w:eastAsia="pt-br" w:bidi="pt-br"/>
      </w:rPr>
    </w:lvl>
    <w:lvl w:ilvl="5">
      <w:start w:val="0"/>
      <w:numFmt w:val="bullet"/>
      <w:lvlText w:val="•"/>
      <w:lvlJc w:val="left"/>
      <w:pPr>
        <w:ind w:left="6650" w:hanging="294"/>
      </w:pPr>
      <w:rPr>
        <w:rFonts w:hint="default"/>
        <w:lang w:val="pt-br" w:eastAsia="pt-br" w:bidi="pt-br"/>
      </w:rPr>
    </w:lvl>
    <w:lvl w:ilvl="6">
      <w:start w:val="0"/>
      <w:numFmt w:val="bullet"/>
      <w:lvlText w:val="•"/>
      <w:lvlJc w:val="left"/>
      <w:pPr>
        <w:ind w:left="7512" w:hanging="294"/>
      </w:pPr>
      <w:rPr>
        <w:rFonts w:hint="default"/>
        <w:lang w:val="pt-br" w:eastAsia="pt-br" w:bidi="pt-br"/>
      </w:rPr>
    </w:lvl>
    <w:lvl w:ilvl="7">
      <w:start w:val="0"/>
      <w:numFmt w:val="bullet"/>
      <w:lvlText w:val="•"/>
      <w:lvlJc w:val="left"/>
      <w:pPr>
        <w:ind w:left="8374" w:hanging="294"/>
      </w:pPr>
      <w:rPr>
        <w:rFonts w:hint="default"/>
        <w:lang w:val="pt-br" w:eastAsia="pt-br" w:bidi="pt-br"/>
      </w:rPr>
    </w:lvl>
    <w:lvl w:ilvl="8">
      <w:start w:val="0"/>
      <w:numFmt w:val="bullet"/>
      <w:lvlText w:val="•"/>
      <w:lvlJc w:val="left"/>
      <w:pPr>
        <w:ind w:left="9236" w:hanging="294"/>
      </w:pPr>
      <w:rPr>
        <w:rFonts w:hint="default"/>
        <w:lang w:val="pt-br" w:eastAsia="pt-br" w:bidi="pt-br"/>
      </w:rPr>
    </w:lvl>
  </w:abstractNum>
  <w:abstractNum w:abstractNumId="8">
    <w:multiLevelType w:val="hybridMultilevel"/>
    <w:lvl w:ilvl="0">
      <w:start w:val="5"/>
      <w:numFmt w:val="upperRoman"/>
      <w:lvlText w:val="%1"/>
      <w:lvlJc w:val="left"/>
      <w:pPr>
        <w:ind w:left="2046" w:hanging="366"/>
        <w:jc w:val="left"/>
      </w:pPr>
      <w:rPr>
        <w:rFonts w:hint="default" w:ascii="Arial" w:hAnsi="Arial" w:eastAsia="Arial" w:cs="Arial"/>
        <w:b/>
        <w:bCs/>
        <w:spacing w:val="-6"/>
        <w:w w:val="100"/>
        <w:sz w:val="24"/>
        <w:szCs w:val="24"/>
        <w:lang w:val="pt-br" w:eastAsia="pt-br" w:bidi="pt-br"/>
      </w:rPr>
    </w:lvl>
    <w:lvl w:ilvl="1">
      <w:start w:val="0"/>
      <w:numFmt w:val="bullet"/>
      <w:lvlText w:val="•"/>
      <w:lvlJc w:val="left"/>
      <w:pPr>
        <w:ind w:left="2932" w:hanging="366"/>
      </w:pPr>
      <w:rPr>
        <w:rFonts w:hint="default"/>
        <w:lang w:val="pt-br" w:eastAsia="pt-br" w:bidi="pt-br"/>
      </w:rPr>
    </w:lvl>
    <w:lvl w:ilvl="2">
      <w:start w:val="0"/>
      <w:numFmt w:val="bullet"/>
      <w:lvlText w:val="•"/>
      <w:lvlJc w:val="left"/>
      <w:pPr>
        <w:ind w:left="3824" w:hanging="366"/>
      </w:pPr>
      <w:rPr>
        <w:rFonts w:hint="default"/>
        <w:lang w:val="pt-br" w:eastAsia="pt-br" w:bidi="pt-br"/>
      </w:rPr>
    </w:lvl>
    <w:lvl w:ilvl="3">
      <w:start w:val="0"/>
      <w:numFmt w:val="bullet"/>
      <w:lvlText w:val="•"/>
      <w:lvlJc w:val="left"/>
      <w:pPr>
        <w:ind w:left="4716" w:hanging="366"/>
      </w:pPr>
      <w:rPr>
        <w:rFonts w:hint="default"/>
        <w:lang w:val="pt-br" w:eastAsia="pt-br" w:bidi="pt-br"/>
      </w:rPr>
    </w:lvl>
    <w:lvl w:ilvl="4">
      <w:start w:val="0"/>
      <w:numFmt w:val="bullet"/>
      <w:lvlText w:val="•"/>
      <w:lvlJc w:val="left"/>
      <w:pPr>
        <w:ind w:left="5608" w:hanging="366"/>
      </w:pPr>
      <w:rPr>
        <w:rFonts w:hint="default"/>
        <w:lang w:val="pt-br" w:eastAsia="pt-br" w:bidi="pt-br"/>
      </w:rPr>
    </w:lvl>
    <w:lvl w:ilvl="5">
      <w:start w:val="0"/>
      <w:numFmt w:val="bullet"/>
      <w:lvlText w:val="•"/>
      <w:lvlJc w:val="left"/>
      <w:pPr>
        <w:ind w:left="6500" w:hanging="366"/>
      </w:pPr>
      <w:rPr>
        <w:rFonts w:hint="default"/>
        <w:lang w:val="pt-br" w:eastAsia="pt-br" w:bidi="pt-br"/>
      </w:rPr>
    </w:lvl>
    <w:lvl w:ilvl="6">
      <w:start w:val="0"/>
      <w:numFmt w:val="bullet"/>
      <w:lvlText w:val="•"/>
      <w:lvlJc w:val="left"/>
      <w:pPr>
        <w:ind w:left="7392" w:hanging="366"/>
      </w:pPr>
      <w:rPr>
        <w:rFonts w:hint="default"/>
        <w:lang w:val="pt-br" w:eastAsia="pt-br" w:bidi="pt-br"/>
      </w:rPr>
    </w:lvl>
    <w:lvl w:ilvl="7">
      <w:start w:val="0"/>
      <w:numFmt w:val="bullet"/>
      <w:lvlText w:val="•"/>
      <w:lvlJc w:val="left"/>
      <w:pPr>
        <w:ind w:left="8284" w:hanging="366"/>
      </w:pPr>
      <w:rPr>
        <w:rFonts w:hint="default"/>
        <w:lang w:val="pt-br" w:eastAsia="pt-br" w:bidi="pt-br"/>
      </w:rPr>
    </w:lvl>
    <w:lvl w:ilvl="8">
      <w:start w:val="0"/>
      <w:numFmt w:val="bullet"/>
      <w:lvlText w:val="•"/>
      <w:lvlJc w:val="left"/>
      <w:pPr>
        <w:ind w:left="9176" w:hanging="366"/>
      </w:pPr>
      <w:rPr>
        <w:rFonts w:hint="default"/>
        <w:lang w:val="pt-br" w:eastAsia="pt-br" w:bidi="pt-br"/>
      </w:rPr>
    </w:lvl>
  </w:abstractNum>
  <w:abstractNum w:abstractNumId="7">
    <w:multiLevelType w:val="hybridMultilevel"/>
    <w:lvl w:ilvl="0">
      <w:start w:val="11"/>
      <w:numFmt w:val="decimal"/>
      <w:lvlText w:val="%1"/>
      <w:lvlJc w:val="left"/>
      <w:pPr>
        <w:ind w:left="636" w:hanging="665"/>
        <w:jc w:val="left"/>
      </w:pPr>
      <w:rPr>
        <w:rFonts w:hint="default"/>
        <w:lang w:val="pt-br" w:eastAsia="pt-br" w:bidi="pt-br"/>
      </w:rPr>
    </w:lvl>
    <w:lvl w:ilvl="1">
      <w:start w:val="1"/>
      <w:numFmt w:val="decimal"/>
      <w:lvlText w:val="%1.%2)"/>
      <w:lvlJc w:val="left"/>
      <w:pPr>
        <w:ind w:left="636" w:hanging="665"/>
        <w:jc w:val="left"/>
      </w:pPr>
      <w:rPr>
        <w:rFonts w:hint="default" w:ascii="Arial" w:hAnsi="Arial" w:eastAsia="Arial" w:cs="Arial"/>
        <w:b/>
        <w:bCs/>
        <w:spacing w:val="-27"/>
        <w:w w:val="100"/>
        <w:sz w:val="24"/>
        <w:szCs w:val="24"/>
        <w:lang w:val="pt-br" w:eastAsia="pt-br" w:bidi="pt-br"/>
      </w:rPr>
    </w:lvl>
    <w:lvl w:ilvl="2">
      <w:start w:val="1"/>
      <w:numFmt w:val="upperRoman"/>
      <w:lvlText w:val="%3"/>
      <w:lvlJc w:val="left"/>
      <w:pPr>
        <w:ind w:left="2046" w:hanging="165"/>
        <w:jc w:val="left"/>
      </w:pPr>
      <w:rPr>
        <w:rFonts w:hint="default" w:ascii="Arial" w:hAnsi="Arial" w:eastAsia="Arial" w:cs="Arial"/>
        <w:b/>
        <w:bCs/>
        <w:w w:val="100"/>
        <w:sz w:val="24"/>
        <w:szCs w:val="24"/>
        <w:lang w:val="pt-br" w:eastAsia="pt-br" w:bidi="pt-br"/>
      </w:rPr>
    </w:lvl>
    <w:lvl w:ilvl="3">
      <w:start w:val="0"/>
      <w:numFmt w:val="bullet"/>
      <w:lvlText w:val="•"/>
      <w:lvlJc w:val="left"/>
      <w:pPr>
        <w:ind w:left="4022" w:hanging="165"/>
      </w:pPr>
      <w:rPr>
        <w:rFonts w:hint="default"/>
        <w:lang w:val="pt-br" w:eastAsia="pt-br" w:bidi="pt-br"/>
      </w:rPr>
    </w:lvl>
    <w:lvl w:ilvl="4">
      <w:start w:val="0"/>
      <w:numFmt w:val="bullet"/>
      <w:lvlText w:val="•"/>
      <w:lvlJc w:val="left"/>
      <w:pPr>
        <w:ind w:left="5013" w:hanging="165"/>
      </w:pPr>
      <w:rPr>
        <w:rFonts w:hint="default"/>
        <w:lang w:val="pt-br" w:eastAsia="pt-br" w:bidi="pt-br"/>
      </w:rPr>
    </w:lvl>
    <w:lvl w:ilvl="5">
      <w:start w:val="0"/>
      <w:numFmt w:val="bullet"/>
      <w:lvlText w:val="•"/>
      <w:lvlJc w:val="left"/>
      <w:pPr>
        <w:ind w:left="6004" w:hanging="165"/>
      </w:pPr>
      <w:rPr>
        <w:rFonts w:hint="default"/>
        <w:lang w:val="pt-br" w:eastAsia="pt-br" w:bidi="pt-br"/>
      </w:rPr>
    </w:lvl>
    <w:lvl w:ilvl="6">
      <w:start w:val="0"/>
      <w:numFmt w:val="bullet"/>
      <w:lvlText w:val="•"/>
      <w:lvlJc w:val="left"/>
      <w:pPr>
        <w:ind w:left="6995" w:hanging="165"/>
      </w:pPr>
      <w:rPr>
        <w:rFonts w:hint="default"/>
        <w:lang w:val="pt-br" w:eastAsia="pt-br" w:bidi="pt-br"/>
      </w:rPr>
    </w:lvl>
    <w:lvl w:ilvl="7">
      <w:start w:val="0"/>
      <w:numFmt w:val="bullet"/>
      <w:lvlText w:val="•"/>
      <w:lvlJc w:val="left"/>
      <w:pPr>
        <w:ind w:left="7986" w:hanging="165"/>
      </w:pPr>
      <w:rPr>
        <w:rFonts w:hint="default"/>
        <w:lang w:val="pt-br" w:eastAsia="pt-br" w:bidi="pt-br"/>
      </w:rPr>
    </w:lvl>
    <w:lvl w:ilvl="8">
      <w:start w:val="0"/>
      <w:numFmt w:val="bullet"/>
      <w:lvlText w:val="•"/>
      <w:lvlJc w:val="left"/>
      <w:pPr>
        <w:ind w:left="8977" w:hanging="165"/>
      </w:pPr>
      <w:rPr>
        <w:rFonts w:hint="default"/>
        <w:lang w:val="pt-br" w:eastAsia="pt-br" w:bidi="pt-br"/>
      </w:rPr>
    </w:lvl>
  </w:abstractNum>
  <w:abstractNum w:abstractNumId="6">
    <w:multiLevelType w:val="hybridMultilevel"/>
    <w:lvl w:ilvl="0">
      <w:start w:val="9"/>
      <w:numFmt w:val="decimal"/>
      <w:lvlText w:val="%1"/>
      <w:lvlJc w:val="left"/>
      <w:pPr>
        <w:ind w:left="1972" w:hanging="480"/>
        <w:jc w:val="left"/>
      </w:pPr>
      <w:rPr>
        <w:rFonts w:hint="default"/>
        <w:lang w:val="pt-br" w:eastAsia="pt-br" w:bidi="pt-br"/>
      </w:rPr>
    </w:lvl>
    <w:lvl w:ilvl="1">
      <w:start w:val="1"/>
      <w:numFmt w:val="decimal"/>
      <w:lvlText w:val="%1.%2)"/>
      <w:lvlJc w:val="left"/>
      <w:pPr>
        <w:ind w:left="1972" w:hanging="480"/>
        <w:jc w:val="left"/>
      </w:pPr>
      <w:rPr>
        <w:rFonts w:hint="default" w:ascii="Arial" w:hAnsi="Arial" w:eastAsia="Arial" w:cs="Arial"/>
        <w:b/>
        <w:bCs/>
        <w:spacing w:val="-1"/>
        <w:w w:val="100"/>
        <w:sz w:val="24"/>
        <w:szCs w:val="24"/>
        <w:lang w:val="pt-br" w:eastAsia="pt-br" w:bidi="pt-br"/>
      </w:rPr>
    </w:lvl>
    <w:lvl w:ilvl="2">
      <w:start w:val="1"/>
      <w:numFmt w:val="decimal"/>
      <w:lvlText w:val="%1.%2.%3)"/>
      <w:lvlJc w:val="left"/>
      <w:pPr>
        <w:ind w:left="636" w:hanging="732"/>
        <w:jc w:val="left"/>
      </w:pPr>
      <w:rPr>
        <w:rFonts w:hint="default" w:ascii="Arial" w:hAnsi="Arial" w:eastAsia="Arial" w:cs="Arial"/>
        <w:b/>
        <w:bCs/>
        <w:spacing w:val="-16"/>
        <w:w w:val="100"/>
        <w:sz w:val="24"/>
        <w:szCs w:val="24"/>
        <w:lang w:val="pt-br" w:eastAsia="pt-br" w:bidi="pt-br"/>
      </w:rPr>
    </w:lvl>
    <w:lvl w:ilvl="3">
      <w:start w:val="0"/>
      <w:numFmt w:val="bullet"/>
      <w:lvlText w:val="•"/>
      <w:lvlJc w:val="left"/>
      <w:pPr>
        <w:ind w:left="3975" w:hanging="732"/>
      </w:pPr>
      <w:rPr>
        <w:rFonts w:hint="default"/>
        <w:lang w:val="pt-br" w:eastAsia="pt-br" w:bidi="pt-br"/>
      </w:rPr>
    </w:lvl>
    <w:lvl w:ilvl="4">
      <w:start w:val="0"/>
      <w:numFmt w:val="bullet"/>
      <w:lvlText w:val="•"/>
      <w:lvlJc w:val="left"/>
      <w:pPr>
        <w:ind w:left="4973" w:hanging="732"/>
      </w:pPr>
      <w:rPr>
        <w:rFonts w:hint="default"/>
        <w:lang w:val="pt-br" w:eastAsia="pt-br" w:bidi="pt-br"/>
      </w:rPr>
    </w:lvl>
    <w:lvl w:ilvl="5">
      <w:start w:val="0"/>
      <w:numFmt w:val="bullet"/>
      <w:lvlText w:val="•"/>
      <w:lvlJc w:val="left"/>
      <w:pPr>
        <w:ind w:left="5971" w:hanging="732"/>
      </w:pPr>
      <w:rPr>
        <w:rFonts w:hint="default"/>
        <w:lang w:val="pt-br" w:eastAsia="pt-br" w:bidi="pt-br"/>
      </w:rPr>
    </w:lvl>
    <w:lvl w:ilvl="6">
      <w:start w:val="0"/>
      <w:numFmt w:val="bullet"/>
      <w:lvlText w:val="•"/>
      <w:lvlJc w:val="left"/>
      <w:pPr>
        <w:ind w:left="6968" w:hanging="732"/>
      </w:pPr>
      <w:rPr>
        <w:rFonts w:hint="default"/>
        <w:lang w:val="pt-br" w:eastAsia="pt-br" w:bidi="pt-br"/>
      </w:rPr>
    </w:lvl>
    <w:lvl w:ilvl="7">
      <w:start w:val="0"/>
      <w:numFmt w:val="bullet"/>
      <w:lvlText w:val="•"/>
      <w:lvlJc w:val="left"/>
      <w:pPr>
        <w:ind w:left="7966" w:hanging="732"/>
      </w:pPr>
      <w:rPr>
        <w:rFonts w:hint="default"/>
        <w:lang w:val="pt-br" w:eastAsia="pt-br" w:bidi="pt-br"/>
      </w:rPr>
    </w:lvl>
    <w:lvl w:ilvl="8">
      <w:start w:val="0"/>
      <w:numFmt w:val="bullet"/>
      <w:lvlText w:val="•"/>
      <w:lvlJc w:val="left"/>
      <w:pPr>
        <w:ind w:left="8964" w:hanging="732"/>
      </w:pPr>
      <w:rPr>
        <w:rFonts w:hint="default"/>
        <w:lang w:val="pt-br" w:eastAsia="pt-br" w:bidi="pt-br"/>
      </w:rPr>
    </w:lvl>
  </w:abstractNum>
  <w:abstractNum w:abstractNumId="5">
    <w:multiLevelType w:val="hybridMultilevel"/>
    <w:lvl w:ilvl="0">
      <w:start w:val="8"/>
      <w:numFmt w:val="decimal"/>
      <w:lvlText w:val="%1"/>
      <w:lvlJc w:val="left"/>
      <w:pPr>
        <w:ind w:left="636" w:hanging="468"/>
        <w:jc w:val="left"/>
      </w:pPr>
      <w:rPr>
        <w:rFonts w:hint="default"/>
        <w:lang w:val="pt-br" w:eastAsia="pt-br" w:bidi="pt-br"/>
      </w:rPr>
    </w:lvl>
    <w:lvl w:ilvl="1">
      <w:start w:val="1"/>
      <w:numFmt w:val="decimal"/>
      <w:lvlText w:val="%1.%2)"/>
      <w:lvlJc w:val="left"/>
      <w:pPr>
        <w:ind w:left="636" w:hanging="468"/>
        <w:jc w:val="left"/>
      </w:pPr>
      <w:rPr>
        <w:rFonts w:hint="default" w:ascii="Arial" w:hAnsi="Arial" w:eastAsia="Arial" w:cs="Arial"/>
        <w:b/>
        <w:bCs/>
        <w:spacing w:val="-1"/>
        <w:w w:val="100"/>
        <w:sz w:val="24"/>
        <w:szCs w:val="24"/>
        <w:lang w:val="pt-br" w:eastAsia="pt-br" w:bidi="pt-br"/>
      </w:rPr>
    </w:lvl>
    <w:lvl w:ilvl="2">
      <w:start w:val="0"/>
      <w:numFmt w:val="bullet"/>
      <w:lvlText w:val="•"/>
      <w:lvlJc w:val="left"/>
      <w:pPr>
        <w:ind w:left="2704" w:hanging="468"/>
      </w:pPr>
      <w:rPr>
        <w:rFonts w:hint="default"/>
        <w:lang w:val="pt-br" w:eastAsia="pt-br" w:bidi="pt-br"/>
      </w:rPr>
    </w:lvl>
    <w:lvl w:ilvl="3">
      <w:start w:val="0"/>
      <w:numFmt w:val="bullet"/>
      <w:lvlText w:val="•"/>
      <w:lvlJc w:val="left"/>
      <w:pPr>
        <w:ind w:left="3736" w:hanging="468"/>
      </w:pPr>
      <w:rPr>
        <w:rFonts w:hint="default"/>
        <w:lang w:val="pt-br" w:eastAsia="pt-br" w:bidi="pt-br"/>
      </w:rPr>
    </w:lvl>
    <w:lvl w:ilvl="4">
      <w:start w:val="0"/>
      <w:numFmt w:val="bullet"/>
      <w:lvlText w:val="•"/>
      <w:lvlJc w:val="left"/>
      <w:pPr>
        <w:ind w:left="4768" w:hanging="468"/>
      </w:pPr>
      <w:rPr>
        <w:rFonts w:hint="default"/>
        <w:lang w:val="pt-br" w:eastAsia="pt-br" w:bidi="pt-br"/>
      </w:rPr>
    </w:lvl>
    <w:lvl w:ilvl="5">
      <w:start w:val="0"/>
      <w:numFmt w:val="bullet"/>
      <w:lvlText w:val="•"/>
      <w:lvlJc w:val="left"/>
      <w:pPr>
        <w:ind w:left="5800" w:hanging="468"/>
      </w:pPr>
      <w:rPr>
        <w:rFonts w:hint="default"/>
        <w:lang w:val="pt-br" w:eastAsia="pt-br" w:bidi="pt-br"/>
      </w:rPr>
    </w:lvl>
    <w:lvl w:ilvl="6">
      <w:start w:val="0"/>
      <w:numFmt w:val="bullet"/>
      <w:lvlText w:val="•"/>
      <w:lvlJc w:val="left"/>
      <w:pPr>
        <w:ind w:left="6832" w:hanging="468"/>
      </w:pPr>
      <w:rPr>
        <w:rFonts w:hint="default"/>
        <w:lang w:val="pt-br" w:eastAsia="pt-br" w:bidi="pt-br"/>
      </w:rPr>
    </w:lvl>
    <w:lvl w:ilvl="7">
      <w:start w:val="0"/>
      <w:numFmt w:val="bullet"/>
      <w:lvlText w:val="•"/>
      <w:lvlJc w:val="left"/>
      <w:pPr>
        <w:ind w:left="7864" w:hanging="468"/>
      </w:pPr>
      <w:rPr>
        <w:rFonts w:hint="default"/>
        <w:lang w:val="pt-br" w:eastAsia="pt-br" w:bidi="pt-br"/>
      </w:rPr>
    </w:lvl>
    <w:lvl w:ilvl="8">
      <w:start w:val="0"/>
      <w:numFmt w:val="bullet"/>
      <w:lvlText w:val="•"/>
      <w:lvlJc w:val="left"/>
      <w:pPr>
        <w:ind w:left="8896" w:hanging="468"/>
      </w:pPr>
      <w:rPr>
        <w:rFonts w:hint="default"/>
        <w:lang w:val="pt-br" w:eastAsia="pt-br" w:bidi="pt-br"/>
      </w:rPr>
    </w:lvl>
  </w:abstractNum>
  <w:abstractNum w:abstractNumId="4">
    <w:multiLevelType w:val="hybridMultilevel"/>
    <w:lvl w:ilvl="0">
      <w:start w:val="7"/>
      <w:numFmt w:val="decimal"/>
      <w:lvlText w:val="%1"/>
      <w:lvlJc w:val="left"/>
      <w:pPr>
        <w:ind w:left="636" w:hanging="484"/>
        <w:jc w:val="left"/>
      </w:pPr>
      <w:rPr>
        <w:rFonts w:hint="default"/>
        <w:lang w:val="pt-br" w:eastAsia="pt-br" w:bidi="pt-br"/>
      </w:rPr>
    </w:lvl>
    <w:lvl w:ilvl="1">
      <w:start w:val="1"/>
      <w:numFmt w:val="decimal"/>
      <w:lvlText w:val="%1.%2)"/>
      <w:lvlJc w:val="left"/>
      <w:pPr>
        <w:ind w:left="636" w:hanging="484"/>
        <w:jc w:val="left"/>
      </w:pPr>
      <w:rPr>
        <w:rFonts w:hint="default" w:ascii="Arial" w:hAnsi="Arial" w:eastAsia="Arial" w:cs="Arial"/>
        <w:b/>
        <w:bCs/>
        <w:spacing w:val="-1"/>
        <w:w w:val="100"/>
        <w:sz w:val="24"/>
        <w:szCs w:val="24"/>
        <w:lang w:val="pt-br" w:eastAsia="pt-br" w:bidi="pt-br"/>
      </w:rPr>
    </w:lvl>
    <w:lvl w:ilvl="2">
      <w:start w:val="0"/>
      <w:numFmt w:val="bullet"/>
      <w:lvlText w:val="•"/>
      <w:lvlJc w:val="left"/>
      <w:pPr>
        <w:ind w:left="2704" w:hanging="484"/>
      </w:pPr>
      <w:rPr>
        <w:rFonts w:hint="default"/>
        <w:lang w:val="pt-br" w:eastAsia="pt-br" w:bidi="pt-br"/>
      </w:rPr>
    </w:lvl>
    <w:lvl w:ilvl="3">
      <w:start w:val="0"/>
      <w:numFmt w:val="bullet"/>
      <w:lvlText w:val="•"/>
      <w:lvlJc w:val="left"/>
      <w:pPr>
        <w:ind w:left="3736" w:hanging="484"/>
      </w:pPr>
      <w:rPr>
        <w:rFonts w:hint="default"/>
        <w:lang w:val="pt-br" w:eastAsia="pt-br" w:bidi="pt-br"/>
      </w:rPr>
    </w:lvl>
    <w:lvl w:ilvl="4">
      <w:start w:val="0"/>
      <w:numFmt w:val="bullet"/>
      <w:lvlText w:val="•"/>
      <w:lvlJc w:val="left"/>
      <w:pPr>
        <w:ind w:left="4768" w:hanging="484"/>
      </w:pPr>
      <w:rPr>
        <w:rFonts w:hint="default"/>
        <w:lang w:val="pt-br" w:eastAsia="pt-br" w:bidi="pt-br"/>
      </w:rPr>
    </w:lvl>
    <w:lvl w:ilvl="5">
      <w:start w:val="0"/>
      <w:numFmt w:val="bullet"/>
      <w:lvlText w:val="•"/>
      <w:lvlJc w:val="left"/>
      <w:pPr>
        <w:ind w:left="5800" w:hanging="484"/>
      </w:pPr>
      <w:rPr>
        <w:rFonts w:hint="default"/>
        <w:lang w:val="pt-br" w:eastAsia="pt-br" w:bidi="pt-br"/>
      </w:rPr>
    </w:lvl>
    <w:lvl w:ilvl="6">
      <w:start w:val="0"/>
      <w:numFmt w:val="bullet"/>
      <w:lvlText w:val="•"/>
      <w:lvlJc w:val="left"/>
      <w:pPr>
        <w:ind w:left="6832" w:hanging="484"/>
      </w:pPr>
      <w:rPr>
        <w:rFonts w:hint="default"/>
        <w:lang w:val="pt-br" w:eastAsia="pt-br" w:bidi="pt-br"/>
      </w:rPr>
    </w:lvl>
    <w:lvl w:ilvl="7">
      <w:start w:val="0"/>
      <w:numFmt w:val="bullet"/>
      <w:lvlText w:val="•"/>
      <w:lvlJc w:val="left"/>
      <w:pPr>
        <w:ind w:left="7864" w:hanging="484"/>
      </w:pPr>
      <w:rPr>
        <w:rFonts w:hint="default"/>
        <w:lang w:val="pt-br" w:eastAsia="pt-br" w:bidi="pt-br"/>
      </w:rPr>
    </w:lvl>
    <w:lvl w:ilvl="8">
      <w:start w:val="0"/>
      <w:numFmt w:val="bullet"/>
      <w:lvlText w:val="•"/>
      <w:lvlJc w:val="left"/>
      <w:pPr>
        <w:ind w:left="8896" w:hanging="484"/>
      </w:pPr>
      <w:rPr>
        <w:rFonts w:hint="default"/>
        <w:lang w:val="pt-br" w:eastAsia="pt-br" w:bidi="pt-br"/>
      </w:rPr>
    </w:lvl>
  </w:abstractNum>
  <w:abstractNum w:abstractNumId="3">
    <w:multiLevelType w:val="hybridMultilevel"/>
    <w:lvl w:ilvl="0">
      <w:start w:val="6"/>
      <w:numFmt w:val="decimal"/>
      <w:lvlText w:val="%1"/>
      <w:lvlJc w:val="left"/>
      <w:pPr>
        <w:ind w:left="636" w:hanging="509"/>
        <w:jc w:val="left"/>
      </w:pPr>
      <w:rPr>
        <w:rFonts w:hint="default"/>
        <w:lang w:val="pt-br" w:eastAsia="pt-br" w:bidi="pt-br"/>
      </w:rPr>
    </w:lvl>
    <w:lvl w:ilvl="1">
      <w:start w:val="1"/>
      <w:numFmt w:val="decimal"/>
      <w:lvlText w:val="%1.%2)"/>
      <w:lvlJc w:val="left"/>
      <w:pPr>
        <w:ind w:left="636" w:hanging="509"/>
        <w:jc w:val="left"/>
      </w:pPr>
      <w:rPr>
        <w:rFonts w:hint="default" w:ascii="Arial" w:hAnsi="Arial" w:eastAsia="Arial" w:cs="Arial"/>
        <w:b/>
        <w:bCs/>
        <w:spacing w:val="-1"/>
        <w:w w:val="100"/>
        <w:sz w:val="24"/>
        <w:szCs w:val="24"/>
        <w:lang w:val="pt-br" w:eastAsia="pt-br" w:bidi="pt-br"/>
      </w:rPr>
    </w:lvl>
    <w:lvl w:ilvl="2">
      <w:start w:val="0"/>
      <w:numFmt w:val="bullet"/>
      <w:lvlText w:val="•"/>
      <w:lvlJc w:val="left"/>
      <w:pPr>
        <w:ind w:left="3066" w:hanging="509"/>
      </w:pPr>
      <w:rPr>
        <w:rFonts w:hint="default"/>
        <w:lang w:val="pt-br" w:eastAsia="pt-br" w:bidi="pt-br"/>
      </w:rPr>
    </w:lvl>
    <w:lvl w:ilvl="3">
      <w:start w:val="0"/>
      <w:numFmt w:val="bullet"/>
      <w:lvlText w:val="•"/>
      <w:lvlJc w:val="left"/>
      <w:pPr>
        <w:ind w:left="4053" w:hanging="509"/>
      </w:pPr>
      <w:rPr>
        <w:rFonts w:hint="default"/>
        <w:lang w:val="pt-br" w:eastAsia="pt-br" w:bidi="pt-br"/>
      </w:rPr>
    </w:lvl>
    <w:lvl w:ilvl="4">
      <w:start w:val="0"/>
      <w:numFmt w:val="bullet"/>
      <w:lvlText w:val="•"/>
      <w:lvlJc w:val="left"/>
      <w:pPr>
        <w:ind w:left="5040" w:hanging="509"/>
      </w:pPr>
      <w:rPr>
        <w:rFonts w:hint="default"/>
        <w:lang w:val="pt-br" w:eastAsia="pt-br" w:bidi="pt-br"/>
      </w:rPr>
    </w:lvl>
    <w:lvl w:ilvl="5">
      <w:start w:val="0"/>
      <w:numFmt w:val="bullet"/>
      <w:lvlText w:val="•"/>
      <w:lvlJc w:val="left"/>
      <w:pPr>
        <w:ind w:left="6026" w:hanging="509"/>
      </w:pPr>
      <w:rPr>
        <w:rFonts w:hint="default"/>
        <w:lang w:val="pt-br" w:eastAsia="pt-br" w:bidi="pt-br"/>
      </w:rPr>
    </w:lvl>
    <w:lvl w:ilvl="6">
      <w:start w:val="0"/>
      <w:numFmt w:val="bullet"/>
      <w:lvlText w:val="•"/>
      <w:lvlJc w:val="left"/>
      <w:pPr>
        <w:ind w:left="7013" w:hanging="509"/>
      </w:pPr>
      <w:rPr>
        <w:rFonts w:hint="default"/>
        <w:lang w:val="pt-br" w:eastAsia="pt-br" w:bidi="pt-br"/>
      </w:rPr>
    </w:lvl>
    <w:lvl w:ilvl="7">
      <w:start w:val="0"/>
      <w:numFmt w:val="bullet"/>
      <w:lvlText w:val="•"/>
      <w:lvlJc w:val="left"/>
      <w:pPr>
        <w:ind w:left="8000" w:hanging="509"/>
      </w:pPr>
      <w:rPr>
        <w:rFonts w:hint="default"/>
        <w:lang w:val="pt-br" w:eastAsia="pt-br" w:bidi="pt-br"/>
      </w:rPr>
    </w:lvl>
    <w:lvl w:ilvl="8">
      <w:start w:val="0"/>
      <w:numFmt w:val="bullet"/>
      <w:lvlText w:val="•"/>
      <w:lvlJc w:val="left"/>
      <w:pPr>
        <w:ind w:left="8986" w:hanging="509"/>
      </w:pPr>
      <w:rPr>
        <w:rFonts w:hint="default"/>
        <w:lang w:val="pt-br" w:eastAsia="pt-br" w:bidi="pt-br"/>
      </w:rPr>
    </w:lvl>
  </w:abstractNum>
  <w:abstractNum w:abstractNumId="2">
    <w:multiLevelType w:val="hybridMultilevel"/>
    <w:lvl w:ilvl="0">
      <w:start w:val="5"/>
      <w:numFmt w:val="decimal"/>
      <w:lvlText w:val="%1"/>
      <w:lvlJc w:val="left"/>
      <w:pPr>
        <w:ind w:left="636" w:hanging="496"/>
        <w:jc w:val="left"/>
      </w:pPr>
      <w:rPr>
        <w:rFonts w:hint="default"/>
        <w:lang w:val="pt-br" w:eastAsia="pt-br" w:bidi="pt-br"/>
      </w:rPr>
    </w:lvl>
    <w:lvl w:ilvl="1">
      <w:start w:val="1"/>
      <w:numFmt w:val="decimal"/>
      <w:lvlText w:val="%1.%2)"/>
      <w:lvlJc w:val="left"/>
      <w:pPr>
        <w:ind w:left="636" w:hanging="496"/>
        <w:jc w:val="left"/>
      </w:pPr>
      <w:rPr>
        <w:rFonts w:hint="default" w:ascii="Arial" w:hAnsi="Arial" w:eastAsia="Arial" w:cs="Arial"/>
        <w:b/>
        <w:bCs/>
        <w:spacing w:val="-1"/>
        <w:w w:val="100"/>
        <w:sz w:val="24"/>
        <w:szCs w:val="24"/>
        <w:lang w:val="pt-br" w:eastAsia="pt-br" w:bidi="pt-br"/>
      </w:rPr>
    </w:lvl>
    <w:lvl w:ilvl="2">
      <w:start w:val="0"/>
      <w:numFmt w:val="bullet"/>
      <w:lvlText w:val="•"/>
      <w:lvlJc w:val="left"/>
      <w:pPr>
        <w:ind w:left="2704" w:hanging="496"/>
      </w:pPr>
      <w:rPr>
        <w:rFonts w:hint="default"/>
        <w:lang w:val="pt-br" w:eastAsia="pt-br" w:bidi="pt-br"/>
      </w:rPr>
    </w:lvl>
    <w:lvl w:ilvl="3">
      <w:start w:val="0"/>
      <w:numFmt w:val="bullet"/>
      <w:lvlText w:val="•"/>
      <w:lvlJc w:val="left"/>
      <w:pPr>
        <w:ind w:left="3736" w:hanging="496"/>
      </w:pPr>
      <w:rPr>
        <w:rFonts w:hint="default"/>
        <w:lang w:val="pt-br" w:eastAsia="pt-br" w:bidi="pt-br"/>
      </w:rPr>
    </w:lvl>
    <w:lvl w:ilvl="4">
      <w:start w:val="0"/>
      <w:numFmt w:val="bullet"/>
      <w:lvlText w:val="•"/>
      <w:lvlJc w:val="left"/>
      <w:pPr>
        <w:ind w:left="4768" w:hanging="496"/>
      </w:pPr>
      <w:rPr>
        <w:rFonts w:hint="default"/>
        <w:lang w:val="pt-br" w:eastAsia="pt-br" w:bidi="pt-br"/>
      </w:rPr>
    </w:lvl>
    <w:lvl w:ilvl="5">
      <w:start w:val="0"/>
      <w:numFmt w:val="bullet"/>
      <w:lvlText w:val="•"/>
      <w:lvlJc w:val="left"/>
      <w:pPr>
        <w:ind w:left="5800" w:hanging="496"/>
      </w:pPr>
      <w:rPr>
        <w:rFonts w:hint="default"/>
        <w:lang w:val="pt-br" w:eastAsia="pt-br" w:bidi="pt-br"/>
      </w:rPr>
    </w:lvl>
    <w:lvl w:ilvl="6">
      <w:start w:val="0"/>
      <w:numFmt w:val="bullet"/>
      <w:lvlText w:val="•"/>
      <w:lvlJc w:val="left"/>
      <w:pPr>
        <w:ind w:left="6832" w:hanging="496"/>
      </w:pPr>
      <w:rPr>
        <w:rFonts w:hint="default"/>
        <w:lang w:val="pt-br" w:eastAsia="pt-br" w:bidi="pt-br"/>
      </w:rPr>
    </w:lvl>
    <w:lvl w:ilvl="7">
      <w:start w:val="0"/>
      <w:numFmt w:val="bullet"/>
      <w:lvlText w:val="•"/>
      <w:lvlJc w:val="left"/>
      <w:pPr>
        <w:ind w:left="7864" w:hanging="496"/>
      </w:pPr>
      <w:rPr>
        <w:rFonts w:hint="default"/>
        <w:lang w:val="pt-br" w:eastAsia="pt-br" w:bidi="pt-br"/>
      </w:rPr>
    </w:lvl>
    <w:lvl w:ilvl="8">
      <w:start w:val="0"/>
      <w:numFmt w:val="bullet"/>
      <w:lvlText w:val="•"/>
      <w:lvlJc w:val="left"/>
      <w:pPr>
        <w:ind w:left="8896" w:hanging="496"/>
      </w:pPr>
      <w:rPr>
        <w:rFonts w:hint="default"/>
        <w:lang w:val="pt-br" w:eastAsia="pt-br" w:bidi="pt-br"/>
      </w:rPr>
    </w:lvl>
  </w:abstractNum>
  <w:abstractNum w:abstractNumId="1">
    <w:multiLevelType w:val="hybridMultilevel"/>
    <w:lvl w:ilvl="0">
      <w:start w:val="3"/>
      <w:numFmt w:val="decimal"/>
      <w:lvlText w:val="%1"/>
      <w:lvlJc w:val="left"/>
      <w:pPr>
        <w:ind w:left="636" w:hanging="694"/>
        <w:jc w:val="left"/>
      </w:pPr>
      <w:rPr>
        <w:rFonts w:hint="default"/>
        <w:lang w:val="pt-br" w:eastAsia="pt-br" w:bidi="pt-br"/>
      </w:rPr>
    </w:lvl>
    <w:lvl w:ilvl="1">
      <w:start w:val="2"/>
      <w:numFmt w:val="decimal"/>
      <w:lvlText w:val="%1.%2"/>
      <w:lvlJc w:val="left"/>
      <w:pPr>
        <w:ind w:left="636" w:hanging="694"/>
        <w:jc w:val="left"/>
      </w:pPr>
      <w:rPr>
        <w:rFonts w:hint="default"/>
        <w:lang w:val="pt-br" w:eastAsia="pt-br" w:bidi="pt-br"/>
      </w:rPr>
    </w:lvl>
    <w:lvl w:ilvl="2">
      <w:start w:val="1"/>
      <w:numFmt w:val="decimal"/>
      <w:lvlText w:val="%1.%2.%3)"/>
      <w:lvlJc w:val="left"/>
      <w:pPr>
        <w:ind w:left="636" w:hanging="694"/>
        <w:jc w:val="left"/>
      </w:pPr>
      <w:rPr>
        <w:rFonts w:hint="default" w:ascii="Arial" w:hAnsi="Arial" w:eastAsia="Arial" w:cs="Arial"/>
        <w:b/>
        <w:bCs/>
        <w:spacing w:val="-1"/>
        <w:w w:val="100"/>
        <w:sz w:val="24"/>
        <w:szCs w:val="24"/>
        <w:lang w:val="pt-br" w:eastAsia="pt-br" w:bidi="pt-br"/>
      </w:rPr>
    </w:lvl>
    <w:lvl w:ilvl="3">
      <w:start w:val="0"/>
      <w:numFmt w:val="bullet"/>
      <w:lvlText w:val="•"/>
      <w:lvlJc w:val="left"/>
      <w:pPr>
        <w:ind w:left="3736" w:hanging="694"/>
      </w:pPr>
      <w:rPr>
        <w:rFonts w:hint="default"/>
        <w:lang w:val="pt-br" w:eastAsia="pt-br" w:bidi="pt-br"/>
      </w:rPr>
    </w:lvl>
    <w:lvl w:ilvl="4">
      <w:start w:val="0"/>
      <w:numFmt w:val="bullet"/>
      <w:lvlText w:val="•"/>
      <w:lvlJc w:val="left"/>
      <w:pPr>
        <w:ind w:left="4768" w:hanging="694"/>
      </w:pPr>
      <w:rPr>
        <w:rFonts w:hint="default"/>
        <w:lang w:val="pt-br" w:eastAsia="pt-br" w:bidi="pt-br"/>
      </w:rPr>
    </w:lvl>
    <w:lvl w:ilvl="5">
      <w:start w:val="0"/>
      <w:numFmt w:val="bullet"/>
      <w:lvlText w:val="•"/>
      <w:lvlJc w:val="left"/>
      <w:pPr>
        <w:ind w:left="5800" w:hanging="694"/>
      </w:pPr>
      <w:rPr>
        <w:rFonts w:hint="default"/>
        <w:lang w:val="pt-br" w:eastAsia="pt-br" w:bidi="pt-br"/>
      </w:rPr>
    </w:lvl>
    <w:lvl w:ilvl="6">
      <w:start w:val="0"/>
      <w:numFmt w:val="bullet"/>
      <w:lvlText w:val="•"/>
      <w:lvlJc w:val="left"/>
      <w:pPr>
        <w:ind w:left="6832" w:hanging="694"/>
      </w:pPr>
      <w:rPr>
        <w:rFonts w:hint="default"/>
        <w:lang w:val="pt-br" w:eastAsia="pt-br" w:bidi="pt-br"/>
      </w:rPr>
    </w:lvl>
    <w:lvl w:ilvl="7">
      <w:start w:val="0"/>
      <w:numFmt w:val="bullet"/>
      <w:lvlText w:val="•"/>
      <w:lvlJc w:val="left"/>
      <w:pPr>
        <w:ind w:left="7864" w:hanging="694"/>
      </w:pPr>
      <w:rPr>
        <w:rFonts w:hint="default"/>
        <w:lang w:val="pt-br" w:eastAsia="pt-br" w:bidi="pt-br"/>
      </w:rPr>
    </w:lvl>
    <w:lvl w:ilvl="8">
      <w:start w:val="0"/>
      <w:numFmt w:val="bullet"/>
      <w:lvlText w:val="•"/>
      <w:lvlJc w:val="left"/>
      <w:pPr>
        <w:ind w:left="8896" w:hanging="694"/>
      </w:pPr>
      <w:rPr>
        <w:rFonts w:hint="default"/>
        <w:lang w:val="pt-br" w:eastAsia="pt-br" w:bidi="pt-br"/>
      </w:rPr>
    </w:lvl>
  </w:abstractNum>
  <w:abstractNum w:abstractNumId="0">
    <w:multiLevelType w:val="hybridMultilevel"/>
    <w:lvl w:ilvl="0">
      <w:start w:val="3"/>
      <w:numFmt w:val="decimal"/>
      <w:lvlText w:val="%1"/>
      <w:lvlJc w:val="left"/>
      <w:pPr>
        <w:ind w:left="1972" w:hanging="480"/>
        <w:jc w:val="left"/>
      </w:pPr>
      <w:rPr>
        <w:rFonts w:hint="default"/>
        <w:lang w:val="pt-br" w:eastAsia="pt-br" w:bidi="pt-br"/>
      </w:rPr>
    </w:lvl>
    <w:lvl w:ilvl="1">
      <w:start w:val="1"/>
      <w:numFmt w:val="decimal"/>
      <w:lvlText w:val="%1.%2)"/>
      <w:lvlJc w:val="left"/>
      <w:pPr>
        <w:ind w:left="1972" w:hanging="480"/>
        <w:jc w:val="left"/>
      </w:pPr>
      <w:rPr>
        <w:rFonts w:hint="default" w:ascii="Arial" w:hAnsi="Arial" w:eastAsia="Arial" w:cs="Arial"/>
        <w:b/>
        <w:bCs/>
        <w:spacing w:val="-1"/>
        <w:w w:val="100"/>
        <w:sz w:val="24"/>
        <w:szCs w:val="24"/>
        <w:lang w:val="pt-br" w:eastAsia="pt-br" w:bidi="pt-br"/>
      </w:rPr>
    </w:lvl>
    <w:lvl w:ilvl="2">
      <w:start w:val="1"/>
      <w:numFmt w:val="decimal"/>
      <w:lvlText w:val="%1.%2.%3)"/>
      <w:lvlJc w:val="left"/>
      <w:pPr>
        <w:ind w:left="636" w:hanging="700"/>
        <w:jc w:val="left"/>
      </w:pPr>
      <w:rPr>
        <w:rFonts w:hint="default" w:ascii="Arial" w:hAnsi="Arial" w:eastAsia="Arial" w:cs="Arial"/>
        <w:b/>
        <w:bCs/>
        <w:spacing w:val="-1"/>
        <w:w w:val="100"/>
        <w:sz w:val="24"/>
        <w:szCs w:val="24"/>
        <w:lang w:val="pt-br" w:eastAsia="pt-br" w:bidi="pt-br"/>
      </w:rPr>
    </w:lvl>
    <w:lvl w:ilvl="3">
      <w:start w:val="0"/>
      <w:numFmt w:val="bullet"/>
      <w:lvlText w:val="•"/>
      <w:lvlJc w:val="left"/>
      <w:pPr>
        <w:ind w:left="3975" w:hanging="700"/>
      </w:pPr>
      <w:rPr>
        <w:rFonts w:hint="default"/>
        <w:lang w:val="pt-br" w:eastAsia="pt-br" w:bidi="pt-br"/>
      </w:rPr>
    </w:lvl>
    <w:lvl w:ilvl="4">
      <w:start w:val="0"/>
      <w:numFmt w:val="bullet"/>
      <w:lvlText w:val="•"/>
      <w:lvlJc w:val="left"/>
      <w:pPr>
        <w:ind w:left="4973" w:hanging="700"/>
      </w:pPr>
      <w:rPr>
        <w:rFonts w:hint="default"/>
        <w:lang w:val="pt-br" w:eastAsia="pt-br" w:bidi="pt-br"/>
      </w:rPr>
    </w:lvl>
    <w:lvl w:ilvl="5">
      <w:start w:val="0"/>
      <w:numFmt w:val="bullet"/>
      <w:lvlText w:val="•"/>
      <w:lvlJc w:val="left"/>
      <w:pPr>
        <w:ind w:left="5971" w:hanging="700"/>
      </w:pPr>
      <w:rPr>
        <w:rFonts w:hint="default"/>
        <w:lang w:val="pt-br" w:eastAsia="pt-br" w:bidi="pt-br"/>
      </w:rPr>
    </w:lvl>
    <w:lvl w:ilvl="6">
      <w:start w:val="0"/>
      <w:numFmt w:val="bullet"/>
      <w:lvlText w:val="•"/>
      <w:lvlJc w:val="left"/>
      <w:pPr>
        <w:ind w:left="6968" w:hanging="700"/>
      </w:pPr>
      <w:rPr>
        <w:rFonts w:hint="default"/>
        <w:lang w:val="pt-br" w:eastAsia="pt-br" w:bidi="pt-br"/>
      </w:rPr>
    </w:lvl>
    <w:lvl w:ilvl="7">
      <w:start w:val="0"/>
      <w:numFmt w:val="bullet"/>
      <w:lvlText w:val="•"/>
      <w:lvlJc w:val="left"/>
      <w:pPr>
        <w:ind w:left="7966" w:hanging="700"/>
      </w:pPr>
      <w:rPr>
        <w:rFonts w:hint="default"/>
        <w:lang w:val="pt-br" w:eastAsia="pt-br" w:bidi="pt-br"/>
      </w:rPr>
    </w:lvl>
    <w:lvl w:ilvl="8">
      <w:start w:val="0"/>
      <w:numFmt w:val="bullet"/>
      <w:lvlText w:val="•"/>
      <w:lvlJc w:val="left"/>
      <w:pPr>
        <w:ind w:left="8964" w:hanging="700"/>
      </w:pPr>
      <w:rPr>
        <w:rFonts w:hint="default"/>
        <w:lang w:val="pt-br" w:eastAsia="pt-br" w:bidi="pt-br"/>
      </w:rPr>
    </w:lvl>
  </w:abstractNum>
  <w:num w:numId="15">
    <w:abstractNumId w:val="14"/>
  </w:num>
  <w:num w:numId="10">
    <w:abstractNumId w:val="9"/>
  </w:num>
  <w:num w:numId="20">
    <w:abstractNumId w:val="19"/>
  </w:num>
  <w:num w:numId="19">
    <w:abstractNumId w:val="18"/>
  </w:num>
  <w:num w:numId="18">
    <w:abstractNumId w:val="17"/>
  </w:num>
  <w:num w:numId="17">
    <w:abstractNumId w:val="16"/>
  </w:num>
  <w:num w:numId="16">
    <w:abstractNumId w:val="15"/>
  </w:num>
  <w:num w:numId="14">
    <w:abstractNumId w:val="13"/>
  </w:num>
  <w:num w:numId="13">
    <w:abstractNumId w:val="12"/>
  </w:num>
  <w:num w:numId="12">
    <w:abstractNumId w:val="11"/>
  </w:num>
  <w:num w:numId="11">
    <w:abstractNumId w:val="10"/>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pt-br" w:eastAsia="pt-br" w:bidi="pt-br"/>
    </w:rPr>
  </w:style>
  <w:style w:styleId="BodyText" w:type="paragraph">
    <w:name w:val="Body Text"/>
    <w:basedOn w:val="Normal"/>
    <w:uiPriority w:val="1"/>
    <w:qFormat/>
    <w:pPr/>
    <w:rPr>
      <w:rFonts w:ascii="Arial" w:hAnsi="Arial" w:eastAsia="Arial" w:cs="Arial"/>
      <w:sz w:val="24"/>
      <w:szCs w:val="24"/>
      <w:lang w:val="pt-br" w:eastAsia="pt-br" w:bidi="pt-br"/>
    </w:rPr>
  </w:style>
  <w:style w:styleId="Heading1" w:type="paragraph">
    <w:name w:val="Heading 1"/>
    <w:basedOn w:val="Normal"/>
    <w:uiPriority w:val="1"/>
    <w:qFormat/>
    <w:pPr>
      <w:spacing w:before="60"/>
      <w:ind w:left="599" w:right="676"/>
      <w:jc w:val="center"/>
      <w:outlineLvl w:val="1"/>
    </w:pPr>
    <w:rPr>
      <w:rFonts w:ascii="Arial" w:hAnsi="Arial" w:eastAsia="Arial" w:cs="Arial"/>
      <w:sz w:val="32"/>
      <w:szCs w:val="32"/>
      <w:lang w:val="pt-br" w:eastAsia="pt-br" w:bidi="pt-br"/>
    </w:rPr>
  </w:style>
  <w:style w:styleId="Heading2" w:type="paragraph">
    <w:name w:val="Heading 2"/>
    <w:basedOn w:val="Normal"/>
    <w:uiPriority w:val="1"/>
    <w:qFormat/>
    <w:pPr>
      <w:ind w:left="635"/>
      <w:outlineLvl w:val="2"/>
    </w:pPr>
    <w:rPr>
      <w:rFonts w:ascii="Arial" w:hAnsi="Arial" w:eastAsia="Arial" w:cs="Arial"/>
      <w:b/>
      <w:bCs/>
      <w:sz w:val="24"/>
      <w:szCs w:val="24"/>
      <w:u w:val="single" w:color="000000"/>
      <w:lang w:val="pt-br" w:eastAsia="pt-br" w:bidi="pt-br"/>
    </w:rPr>
  </w:style>
  <w:style w:styleId="ListParagraph" w:type="paragraph">
    <w:name w:val="List Paragraph"/>
    <w:basedOn w:val="Normal"/>
    <w:uiPriority w:val="1"/>
    <w:qFormat/>
    <w:pPr>
      <w:ind w:left="635" w:right="178" w:firstLine="856"/>
      <w:jc w:val="both"/>
    </w:pPr>
    <w:rPr>
      <w:rFonts w:ascii="Arial" w:hAnsi="Arial" w:eastAsia="Arial" w:cs="Arial"/>
      <w:lang w:val="pt-br" w:eastAsia="pt-br" w:bidi="pt-br"/>
    </w:rPr>
  </w:style>
  <w:style w:styleId="TableParagraph" w:type="paragraph">
    <w:name w:val="Table Paragraph"/>
    <w:basedOn w:val="Normal"/>
    <w:uiPriority w:val="1"/>
    <w:qFormat/>
    <w:pPr/>
    <w:rPr>
      <w:lang w:val="pt-br" w:eastAsia="pt-br" w:bidi="pt-b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header" Target="header8.xml"/><Relationship Id="rId20" Type="http://schemas.openxmlformats.org/officeDocument/2006/relationships/footer" Target="footer8.xml"/><Relationship Id="rId21" Type="http://schemas.openxmlformats.org/officeDocument/2006/relationships/header" Target="header9.xml"/><Relationship Id="rId22" Type="http://schemas.openxmlformats.org/officeDocument/2006/relationships/footer" Target="footer9.xml"/><Relationship Id="rId23" Type="http://schemas.openxmlformats.org/officeDocument/2006/relationships/header" Target="header10.xml"/><Relationship Id="rId24" Type="http://schemas.openxmlformats.org/officeDocument/2006/relationships/footer" Target="footer10.xml"/><Relationship Id="rId25" Type="http://schemas.openxmlformats.org/officeDocument/2006/relationships/header" Target="header11.xml"/><Relationship Id="rId26" Type="http://schemas.openxmlformats.org/officeDocument/2006/relationships/footer" Target="footer11.xml"/><Relationship Id="rId27" Type="http://schemas.openxmlformats.org/officeDocument/2006/relationships/header" Target="header12.xml"/><Relationship Id="rId28" Type="http://schemas.openxmlformats.org/officeDocument/2006/relationships/footer" Target="footer12.xml"/><Relationship Id="rId29" Type="http://schemas.openxmlformats.org/officeDocument/2006/relationships/header" Target="header13.xml"/><Relationship Id="rId30" Type="http://schemas.openxmlformats.org/officeDocument/2006/relationships/footer" Target="footer13.xml"/><Relationship Id="rId31" Type="http://schemas.openxmlformats.org/officeDocument/2006/relationships/header" Target="header14.xml"/><Relationship Id="rId32" Type="http://schemas.openxmlformats.org/officeDocument/2006/relationships/footer" Target="footer14.xml"/><Relationship Id="rId33" Type="http://schemas.openxmlformats.org/officeDocument/2006/relationships/header" Target="header15.xml"/><Relationship Id="rId34" Type="http://schemas.openxmlformats.org/officeDocument/2006/relationships/footer" Target="footer15.xml"/><Relationship Id="rId35" Type="http://schemas.openxmlformats.org/officeDocument/2006/relationships/image" Target="media/image2.jpeg"/><Relationship Id="rId36" Type="http://schemas.openxmlformats.org/officeDocument/2006/relationships/header" Target="header16.xml"/><Relationship Id="rId37" Type="http://schemas.openxmlformats.org/officeDocument/2006/relationships/footer" Target="footer16.xml"/><Relationship Id="rId38" Type="http://schemas.openxmlformats.org/officeDocument/2006/relationships/hyperlink" Target="http://edocsergipe.se.gov.br/consultacodigo" TargetMode="External"/><Relationship Id="rId39" Type="http://schemas.openxmlformats.org/officeDocument/2006/relationships/image" Target="media/image3.png"/><Relationship Id="rId40" Type="http://schemas.openxmlformats.org/officeDocument/2006/relationships/image" Target="media/image4.png"/><Relationship Id="rId41" Type="http://schemas.openxmlformats.org/officeDocument/2006/relationships/image" Target="media/image5.png"/><Relationship Id="rId42" Type="http://schemas.openxmlformats.org/officeDocument/2006/relationships/image" Target="media/image6.png"/><Relationship Id="rId4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edocsergipe.se.gov.br/consultacodigo"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edocsergipe.se.gov.br/consultacodigo"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edocsergipe.se.gov.br/consultacodigo"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edocsergipe.se.gov.br/consultacodigo"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edocsergipe.se.gov.br/consultacodigo"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edocsergipe.se.gov.br/consultacodigo"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edocsergipe.se.gov.br/consultacodig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edocsergipe.se.gov.br/consultacodig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edocsergipe.se.gov.br/consultacodigo"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edocsergipe.se.gov.br/consultacodigo"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edocsergipe.se.gov.br/consultacodigo"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edocsergipe.se.gov.br/consultacodigo"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edocsergipe.se.gov.br/consultacodigo"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edocsergipe.se.gov.br/consultacodigo"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edocsergipe.se.gov.br/consultacodig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2025-10-10T11:52:11Z</dcterms:created>
  <dcterms:modified xsi:type="dcterms:W3CDTF">2025-10-10T11:52:11Z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2024-11-22T00:00:00Z</vt:filetime>
  </property>
  <property fmtid="{D5CDD505-2E9C-101B-9397-08002B2CF9AE}" pid="3" name="Creator">
    <vt:lpwstr>Writer</vt:lpwstr>
  </property>
  <property fmtid="{D5CDD505-2E9C-101B-9397-08002B2CF9AE}" pid="4" name="LastSaved">
    <vt:filetime>2025-10-10T00:00:00Z</vt:filetime>
  </property>
</Properties>
</file>