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 w:after="1"/>
        <w:rPr>
          <w:rFonts w:ascii="Times New Roman"/>
          <w:sz w:val="28"/>
        </w:rPr>
      </w:pPr>
    </w:p>
    <w:p>
      <w:pPr>
        <w:pStyle w:val="BodyText"/>
        <w:ind w:left="76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8817" cy="50720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817" cy="50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64"/>
        <w:ind w:right="2354"/>
      </w:pPr>
      <w:r>
        <w:rPr/>
        <w:t>ESTADO DE SERGIPE</w:t>
      </w:r>
    </w:p>
    <w:p>
      <w:pPr>
        <w:spacing w:before="12"/>
        <w:ind w:left="3498" w:right="3551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Secretaria do Desenvolvimento Econômico e da Ciência e Tecnologia</w:t>
      </w:r>
    </w:p>
    <w:p>
      <w:pPr>
        <w:spacing w:before="69"/>
        <w:ind w:left="3498" w:right="2349" w:firstLine="0"/>
        <w:jc w:val="center"/>
        <w:rPr>
          <w:rFonts w:ascii="Trebuchet MS"/>
          <w:b/>
          <w:sz w:val="24"/>
        </w:rPr>
      </w:pPr>
      <w:r>
        <w:rPr/>
        <w:pict>
          <v:group style="position:absolute;margin-left:36.840pt;margin-top:19.497593pt;width:715.7pt;height:29.7pt;mso-position-horizontal-relative:page;mso-position-vertical-relative:paragraph;z-index:-251657216;mso-wrap-distance-left:0;mso-wrap-distance-right:0" coordorigin="737,390" coordsize="14314,594">
            <v:rect style="position:absolute;left:756;top:690;width:10891;height:293" filled="true" fillcolor="#000000" stroked="false">
              <v:fill type="solid"/>
            </v:rect>
            <v:shape style="position:absolute;left:736;top:389;width:14314;height:581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36;top:745;width:174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FF"/>
                        <w:sz w:val="22"/>
                        <w:u w:val="single" w:color="0000FF"/>
                      </w:rPr>
                      <w:t>Encerrar Sessão (q)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rebuchet MS"/>
          <w:b/>
          <w:sz w:val="24"/>
        </w:rPr>
        <w:t>FUNTEC</w:t>
      </w:r>
    </w:p>
    <w:p>
      <w:pPr>
        <w:pStyle w:val="BodyText"/>
        <w:spacing w:before="5" w:after="1"/>
        <w:rPr>
          <w:rFonts w:ascii="Trebuchet MS"/>
          <w:b/>
          <w:sz w:val="21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273"/>
        <w:gridCol w:w="1436"/>
        <w:gridCol w:w="1033"/>
        <w:gridCol w:w="1033"/>
        <w:gridCol w:w="2513"/>
        <w:gridCol w:w="1549"/>
        <w:gridCol w:w="1323"/>
        <w:gridCol w:w="1290"/>
        <w:gridCol w:w="1033"/>
      </w:tblGrid>
      <w:tr>
        <w:trPr>
          <w:trHeight w:val="270" w:hRule="atLeast"/>
        </w:trPr>
        <w:tc>
          <w:tcPr>
            <w:tcW w:w="6839" w:type="dxa"/>
            <w:gridSpan w:val="6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8" w:type="dxa"/>
            <w:gridSpan w:val="5"/>
          </w:tcPr>
          <w:p>
            <w:pPr>
              <w:pStyle w:val="TableParagraph"/>
              <w:spacing w:line="250" w:lineRule="exact" w:before="0"/>
              <w:ind w:right="26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Atualizada até 15/01/2020</w:t>
            </w:r>
          </w:p>
        </w:tc>
      </w:tr>
      <w:tr>
        <w:trPr>
          <w:trHeight w:val="675" w:hRule="atLeast"/>
        </w:trPr>
        <w:tc>
          <w:tcPr>
            <w:tcW w:w="1032" w:type="dxa"/>
            <w:shd w:val="clear" w:color="auto" w:fill="A4B8D6"/>
          </w:tcPr>
          <w:p>
            <w:pPr>
              <w:pStyle w:val="TableParagraph"/>
              <w:spacing w:before="1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95" w:right="7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Exercício</w:t>
            </w:r>
          </w:p>
        </w:tc>
        <w:tc>
          <w:tcPr>
            <w:tcW w:w="1032" w:type="dxa"/>
            <w:shd w:val="clear" w:color="auto" w:fill="A4B8D6"/>
          </w:tcPr>
          <w:p>
            <w:pPr>
              <w:pStyle w:val="TableParagraph"/>
              <w:spacing w:line="273" w:lineRule="auto" w:before="116"/>
              <w:ind w:left="275" w:right="7" w:hanging="231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Número da Solic.</w:t>
            </w:r>
          </w:p>
        </w:tc>
        <w:tc>
          <w:tcPr>
            <w:tcW w:w="1273" w:type="dxa"/>
            <w:shd w:val="clear" w:color="auto" w:fill="A4B8D6"/>
          </w:tcPr>
          <w:p>
            <w:pPr>
              <w:pStyle w:val="TableParagraph"/>
              <w:spacing w:line="273" w:lineRule="auto" w:before="116"/>
              <w:ind w:left="160" w:right="122" w:firstLine="151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Data da Solicitação</w:t>
            </w:r>
          </w:p>
        </w:tc>
        <w:tc>
          <w:tcPr>
            <w:tcW w:w="1436" w:type="dxa"/>
            <w:shd w:val="clear" w:color="auto" w:fill="A4B8D6"/>
          </w:tcPr>
          <w:p>
            <w:pPr>
              <w:pStyle w:val="TableParagraph"/>
              <w:spacing w:before="1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116" w:right="98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Data Contábil</w:t>
            </w:r>
          </w:p>
        </w:tc>
        <w:tc>
          <w:tcPr>
            <w:tcW w:w="1033" w:type="dxa"/>
            <w:shd w:val="clear" w:color="auto" w:fill="A4B8D6"/>
          </w:tcPr>
          <w:p>
            <w:pPr>
              <w:pStyle w:val="TableParagraph"/>
              <w:spacing w:before="116"/>
              <w:ind w:left="57" w:right="3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UG</w:t>
            </w:r>
          </w:p>
          <w:p>
            <w:pPr>
              <w:pStyle w:val="TableParagraph"/>
              <w:spacing w:before="28"/>
              <w:ind w:left="56" w:right="40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Cedente</w:t>
            </w:r>
          </w:p>
        </w:tc>
        <w:tc>
          <w:tcPr>
            <w:tcW w:w="1033" w:type="dxa"/>
            <w:shd w:val="clear" w:color="auto" w:fill="A4B8D6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UG</w:t>
            </w:r>
          </w:p>
          <w:p>
            <w:pPr>
              <w:pStyle w:val="TableParagraph"/>
              <w:spacing w:line="230" w:lineRule="atLeast" w:before="6"/>
              <w:ind w:left="57" w:right="40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Beneficiad a</w:t>
            </w:r>
          </w:p>
        </w:tc>
        <w:tc>
          <w:tcPr>
            <w:tcW w:w="2513" w:type="dxa"/>
            <w:shd w:val="clear" w:color="auto" w:fill="A4B8D6"/>
          </w:tcPr>
          <w:p>
            <w:pPr>
              <w:pStyle w:val="TableParagraph"/>
              <w:spacing w:before="1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279" w:right="263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Programa de Trabalho</w:t>
            </w:r>
          </w:p>
        </w:tc>
        <w:tc>
          <w:tcPr>
            <w:tcW w:w="1549" w:type="dxa"/>
            <w:shd w:val="clear" w:color="auto" w:fill="A4B8D6"/>
          </w:tcPr>
          <w:p>
            <w:pPr>
              <w:pStyle w:val="TableParagraph"/>
              <w:spacing w:line="273" w:lineRule="auto" w:before="116"/>
              <w:ind w:left="412" w:right="364" w:hanging="17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Fonte de Recurso</w:t>
            </w:r>
          </w:p>
        </w:tc>
        <w:tc>
          <w:tcPr>
            <w:tcW w:w="1323" w:type="dxa"/>
            <w:shd w:val="clear" w:color="auto" w:fill="A4B8D6"/>
          </w:tcPr>
          <w:p>
            <w:pPr>
              <w:pStyle w:val="TableParagraph"/>
              <w:spacing w:line="273" w:lineRule="auto" w:before="116"/>
              <w:ind w:left="289" w:right="115" w:hanging="142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Natureza da Despesa</w:t>
            </w:r>
          </w:p>
        </w:tc>
        <w:tc>
          <w:tcPr>
            <w:tcW w:w="1290" w:type="dxa"/>
            <w:shd w:val="clear" w:color="auto" w:fill="A4B8D6"/>
          </w:tcPr>
          <w:p>
            <w:pPr>
              <w:pStyle w:val="TableParagraph"/>
              <w:spacing w:before="1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Valor</w:t>
            </w:r>
          </w:p>
        </w:tc>
        <w:tc>
          <w:tcPr>
            <w:tcW w:w="1033" w:type="dxa"/>
            <w:shd w:val="clear" w:color="auto" w:fill="A4B8D6"/>
          </w:tcPr>
          <w:p>
            <w:pPr>
              <w:pStyle w:val="TableParagraph"/>
              <w:spacing w:before="1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52" w:right="40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Situação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2019</w:t>
            </w:r>
          </w:p>
        </w:tc>
        <w:tc>
          <w:tcPr>
            <w:tcW w:w="1032" w:type="dxa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64</w:t>
            </w:r>
          </w:p>
        </w:tc>
        <w:tc>
          <w:tcPr>
            <w:tcW w:w="1273" w:type="dxa"/>
          </w:tcPr>
          <w:p>
            <w:pPr>
              <w:pStyle w:val="TableParagraph"/>
              <w:ind w:left="166" w:right="14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01/11/2019</w:t>
            </w:r>
          </w:p>
        </w:tc>
        <w:tc>
          <w:tcPr>
            <w:tcW w:w="1436" w:type="dxa"/>
          </w:tcPr>
          <w:p>
            <w:pPr>
              <w:pStyle w:val="TableParagraph"/>
              <w:ind w:left="116" w:right="9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02/12/2019</w:t>
            </w:r>
          </w:p>
        </w:tc>
        <w:tc>
          <w:tcPr>
            <w:tcW w:w="1033" w:type="dxa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194021</w:t>
            </w:r>
          </w:p>
        </w:tc>
        <w:tc>
          <w:tcPr>
            <w:tcW w:w="1033" w:type="dxa"/>
          </w:tcPr>
          <w:p>
            <w:pPr>
              <w:pStyle w:val="TableParagraph"/>
              <w:ind w:left="57" w:right="3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192031</w:t>
            </w:r>
          </w:p>
        </w:tc>
        <w:tc>
          <w:tcPr>
            <w:tcW w:w="2513" w:type="dxa"/>
          </w:tcPr>
          <w:p>
            <w:pPr>
              <w:pStyle w:val="TableParagraph"/>
              <w:spacing w:before="58"/>
              <w:ind w:left="279" w:right="250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19.571.002.116.610.000</w:t>
            </w:r>
          </w:p>
        </w:tc>
        <w:tc>
          <w:tcPr>
            <w:tcW w:w="1549" w:type="dxa"/>
          </w:tcPr>
          <w:p>
            <w:pPr>
              <w:pStyle w:val="TableParagraph"/>
              <w:ind w:left="302" w:right="28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105000000</w:t>
            </w:r>
          </w:p>
        </w:tc>
        <w:tc>
          <w:tcPr>
            <w:tcW w:w="1323" w:type="dxa"/>
          </w:tcPr>
          <w:p>
            <w:pPr>
              <w:pStyle w:val="TableParagraph"/>
              <w:ind w:left="137" w:right="12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3.3.90.00.00</w:t>
            </w:r>
          </w:p>
        </w:tc>
        <w:tc>
          <w:tcPr>
            <w:tcW w:w="1290" w:type="dxa"/>
          </w:tcPr>
          <w:p>
            <w:pPr>
              <w:pStyle w:val="TableParagraph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283.400,00</w:t>
            </w:r>
          </w:p>
        </w:tc>
        <w:tc>
          <w:tcPr>
            <w:tcW w:w="1033" w:type="dxa"/>
          </w:tcPr>
          <w:p>
            <w:pPr>
              <w:pStyle w:val="TableParagraph"/>
              <w:ind w:left="51" w:right="40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2019</w:t>
            </w:r>
          </w:p>
        </w:tc>
        <w:tc>
          <w:tcPr>
            <w:tcW w:w="1032" w:type="dxa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65</w:t>
            </w:r>
          </w:p>
        </w:tc>
        <w:tc>
          <w:tcPr>
            <w:tcW w:w="1273" w:type="dxa"/>
          </w:tcPr>
          <w:p>
            <w:pPr>
              <w:pStyle w:val="TableParagraph"/>
              <w:ind w:left="166" w:right="14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01/11/2019</w:t>
            </w:r>
          </w:p>
        </w:tc>
        <w:tc>
          <w:tcPr>
            <w:tcW w:w="1436" w:type="dxa"/>
          </w:tcPr>
          <w:p>
            <w:pPr>
              <w:pStyle w:val="TableParagraph"/>
              <w:ind w:left="116" w:right="9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02/12/2019</w:t>
            </w:r>
          </w:p>
        </w:tc>
        <w:tc>
          <w:tcPr>
            <w:tcW w:w="1033" w:type="dxa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194021</w:t>
            </w:r>
          </w:p>
        </w:tc>
        <w:tc>
          <w:tcPr>
            <w:tcW w:w="1033" w:type="dxa"/>
          </w:tcPr>
          <w:p>
            <w:pPr>
              <w:pStyle w:val="TableParagraph"/>
              <w:ind w:left="57" w:right="3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192031</w:t>
            </w:r>
          </w:p>
        </w:tc>
        <w:tc>
          <w:tcPr>
            <w:tcW w:w="2513" w:type="dxa"/>
          </w:tcPr>
          <w:p>
            <w:pPr>
              <w:pStyle w:val="TableParagraph"/>
              <w:spacing w:before="58"/>
              <w:ind w:left="279" w:right="250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19.571.002.116.630.000</w:t>
            </w:r>
          </w:p>
        </w:tc>
        <w:tc>
          <w:tcPr>
            <w:tcW w:w="1549" w:type="dxa"/>
          </w:tcPr>
          <w:p>
            <w:pPr>
              <w:pStyle w:val="TableParagraph"/>
              <w:ind w:left="302" w:right="28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105000000</w:t>
            </w:r>
          </w:p>
        </w:tc>
        <w:tc>
          <w:tcPr>
            <w:tcW w:w="1323" w:type="dxa"/>
          </w:tcPr>
          <w:p>
            <w:pPr>
              <w:pStyle w:val="TableParagraph"/>
              <w:ind w:left="137" w:right="12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3.3.90.00.00</w:t>
            </w:r>
          </w:p>
        </w:tc>
        <w:tc>
          <w:tcPr>
            <w:tcW w:w="1290" w:type="dxa"/>
          </w:tcPr>
          <w:p>
            <w:pPr>
              <w:pStyle w:val="TableParagraph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22.200,00</w:t>
            </w:r>
          </w:p>
        </w:tc>
        <w:tc>
          <w:tcPr>
            <w:tcW w:w="1033" w:type="dxa"/>
          </w:tcPr>
          <w:p>
            <w:pPr>
              <w:pStyle w:val="TableParagraph"/>
              <w:ind w:left="51" w:right="40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2019</w:t>
            </w:r>
          </w:p>
        </w:tc>
        <w:tc>
          <w:tcPr>
            <w:tcW w:w="1032" w:type="dxa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66</w:t>
            </w:r>
          </w:p>
        </w:tc>
        <w:tc>
          <w:tcPr>
            <w:tcW w:w="1273" w:type="dxa"/>
          </w:tcPr>
          <w:p>
            <w:pPr>
              <w:pStyle w:val="TableParagraph"/>
              <w:ind w:left="166" w:right="14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01/11/2019</w:t>
            </w:r>
          </w:p>
        </w:tc>
        <w:tc>
          <w:tcPr>
            <w:tcW w:w="1436" w:type="dxa"/>
          </w:tcPr>
          <w:p>
            <w:pPr>
              <w:pStyle w:val="TableParagraph"/>
              <w:ind w:left="116" w:right="9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02/12/2019</w:t>
            </w:r>
          </w:p>
        </w:tc>
        <w:tc>
          <w:tcPr>
            <w:tcW w:w="1033" w:type="dxa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194021</w:t>
            </w:r>
          </w:p>
        </w:tc>
        <w:tc>
          <w:tcPr>
            <w:tcW w:w="1033" w:type="dxa"/>
          </w:tcPr>
          <w:p>
            <w:pPr>
              <w:pStyle w:val="TableParagraph"/>
              <w:ind w:left="57" w:right="3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192031</w:t>
            </w:r>
          </w:p>
        </w:tc>
        <w:tc>
          <w:tcPr>
            <w:tcW w:w="2513" w:type="dxa"/>
          </w:tcPr>
          <w:p>
            <w:pPr>
              <w:pStyle w:val="TableParagraph"/>
              <w:spacing w:before="58"/>
              <w:ind w:left="279" w:right="250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19.571.002.116.640.000</w:t>
            </w:r>
          </w:p>
        </w:tc>
        <w:tc>
          <w:tcPr>
            <w:tcW w:w="1549" w:type="dxa"/>
          </w:tcPr>
          <w:p>
            <w:pPr>
              <w:pStyle w:val="TableParagraph"/>
              <w:ind w:left="302" w:right="28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105000000</w:t>
            </w:r>
          </w:p>
        </w:tc>
        <w:tc>
          <w:tcPr>
            <w:tcW w:w="1323" w:type="dxa"/>
          </w:tcPr>
          <w:p>
            <w:pPr>
              <w:pStyle w:val="TableParagraph"/>
              <w:ind w:left="137" w:right="12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3.3.90.00.00</w:t>
            </w:r>
          </w:p>
        </w:tc>
        <w:tc>
          <w:tcPr>
            <w:tcW w:w="1290" w:type="dxa"/>
          </w:tcPr>
          <w:p>
            <w:pPr>
              <w:pStyle w:val="TableParagraph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58.278,00</w:t>
            </w:r>
          </w:p>
        </w:tc>
        <w:tc>
          <w:tcPr>
            <w:tcW w:w="1033" w:type="dxa"/>
          </w:tcPr>
          <w:p>
            <w:pPr>
              <w:pStyle w:val="TableParagraph"/>
              <w:ind w:left="51" w:right="40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2224" w:type="dxa"/>
            <w:gridSpan w:val="9"/>
          </w:tcPr>
          <w:p>
            <w:pPr>
              <w:pStyle w:val="TableParagraph"/>
              <w:ind w:left="5875" w:right="585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Total</w:t>
            </w:r>
          </w:p>
        </w:tc>
        <w:tc>
          <w:tcPr>
            <w:tcW w:w="1290" w:type="dxa"/>
          </w:tcPr>
          <w:p>
            <w:pPr>
              <w:pStyle w:val="TableParagraph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363.878,00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68" w:lineRule="exact"/>
        <w:ind w:left="165"/>
      </w:pPr>
      <w:r>
        <w:rPr/>
        <w:t>Fonte: Igesp-se</w:t>
      </w:r>
    </w:p>
    <w:p>
      <w:pPr>
        <w:pStyle w:val="BodyText"/>
        <w:spacing w:before="22"/>
        <w:ind w:left="165"/>
      </w:pPr>
      <w:r>
        <w:rPr/>
        <w:t>Obs: NE-Nota de Empenho e NFe-Nota Fiscal Eletronica não se aplicam a Descentralixação orçamentária.</w:t>
      </w:r>
    </w:p>
    <w:p>
      <w:pPr>
        <w:pStyle w:val="BodyText"/>
        <w:ind w:left="110"/>
        <w:rPr>
          <w:sz w:val="20"/>
        </w:rPr>
      </w:pPr>
      <w:r>
        <w:rPr/>
        <w:pict>
          <v:shape style="position:absolute;margin-left:45.943172pt;margin-top:5.507807pt;width:27.8pt;height:11.35pt;mso-position-horizontal-relative:page;mso-position-vertical-relative:paragraph;z-index:-251933696" type="#_x0000_t202" filled="false" stroked="false">
            <v:textbox inset="0,0,0,0">
              <w:txbxContent>
                <w:p>
                  <w:pPr>
                    <w:pStyle w:val="BodyText"/>
                    <w:spacing w:line="227" w:lineRule="exact"/>
                  </w:pPr>
                  <w:r>
                    <w:rPr/>
                    <w:t>Todos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pict>
          <v:group style="width:67.9pt;height:25.5pt;mso-position-horizontal-relative:char;mso-position-vertical-relative:line" coordorigin="0,0" coordsize="1358,510">
            <v:shape style="position:absolute;left:1;top:1;width:435;height:406" type="#_x0000_t75" stroked="false">
              <v:imagedata r:id="rId7" o:title=""/>
            </v:shape>
            <v:line style="position:absolute" from="1,356" to="32,356" stroked="true" strokeweight=".744473pt" strokecolor="#ffffff">
              <v:stroke dashstyle="solid"/>
            </v:line>
            <v:line style="position:absolute" from="9,1" to="9,349" stroked="true" strokeweight=".745588pt" strokecolor="#9f9f9f">
              <v:stroke dashstyle="solid"/>
            </v:line>
            <v:line style="position:absolute" from="16,9" to="1358,9" stroked="true" strokeweight=".744473pt" strokecolor="#9f9f9f">
              <v:stroke dashstyle="solid"/>
            </v:line>
            <v:line style="position:absolute" from="1277,356" to="1358,356" stroked="true" strokeweight=".744473pt" strokecolor="#ffffff">
              <v:stroke dashstyle="solid"/>
            </v:line>
            <v:line style="position:absolute" from="1350,16" to="1350,349" stroked="true" strokeweight=".769637pt" strokecolor="#e2e2e2">
              <v:stroke dashstyle="solid"/>
            </v:line>
            <v:line style="position:absolute" from="1277,341" to="1342,341" stroked="true" strokeweight=".744473pt" strokecolor="#e2e2e2">
              <v:stroke dashstyle="solid"/>
            </v:line>
            <v:line style="position:absolute" from="24,16" to="24,334" stroked="true" strokeweight=".769637pt" strokecolor="#696969">
              <v:stroke dashstyle="solid"/>
            </v:line>
            <v:line style="position:absolute" from="32,24" to="1342,24" stroked="true" strokeweight=".768488pt" strokecolor="#696969">
              <v:stroke dashstyle="solid"/>
            </v:line>
            <v:line style="position:absolute" from="1335,31" to="1335,334" stroked="true" strokeweight=".745588pt" strokecolor="#696969">
              <v:stroke dashstyle="solid"/>
            </v:line>
            <v:line style="position:absolute" from="1277,326" to="1327,326" stroked="true" strokeweight=".768488pt" strokecolor="#696969">
              <v:stroke dashstyle="solid"/>
            </v:line>
            <v:line style="position:absolute" from="1277,39" to="1327,39" stroked="true" strokeweight=".744473pt" strokecolor="#e2e2e2">
              <v:stroke dashstyle="solid"/>
            </v:line>
            <v:line style="position:absolute" from="1320,46" to="1320,319" stroked="true" strokeweight=".745578pt" strokecolor="#9f9f9f">
              <v:stroke dashstyle="solid"/>
            </v:line>
            <v:line style="position:absolute" from="1277,311" to="1312,311" stroked="true" strokeweight=".744473pt" strokecolor="#9f9f9f">
              <v:stroke dashstyle="solid"/>
            </v:line>
            <v:rect style="position:absolute;left:1276;top:61;width:36;height:243" filled="true" fillcolor="#efefef" stroked="false">
              <v:fill type="solid"/>
            </v:rect>
            <v:line style="position:absolute" from="1299,1" to="1299,510" stroked="true" strokeweight=".741831pt" strokecolor="#696969">
              <v:stroke dashstyle="solid"/>
            </v:line>
            <v:line style="position:absolute" from="1,502" to="1292,502" stroked="true" strokeweight=".758193pt" strokecolor="#696969">
              <v:stroke dashstyle="solid"/>
            </v:line>
            <v:line style="position:absolute" from="9,1" to="9,495" stroked="true" strokeweight=".741831pt" strokecolor="#ffffff">
              <v:stroke dashstyle="solid"/>
            </v:line>
            <v:line style="position:absolute" from="16,9" to="1292,9" stroked="true" strokeweight=".758193pt" strokecolor="#ffffff">
              <v:stroke dashstyle="solid"/>
            </v:line>
            <v:line style="position:absolute" from="1284,16" to="1284,495" stroked="true" strokeweight=".774086pt" strokecolor="#9f9f9f">
              <v:stroke dashstyle="solid"/>
            </v:line>
            <v:line style="position:absolute" from="16,487" to="1276,487" stroked="true" strokeweight=".758193pt" strokecolor="#9f9f9f">
              <v:stroke dashstyle="solid"/>
            </v:line>
            <v:line style="position:absolute" from="24,16" to="24,479" stroked="true" strokeweight=".774086pt" strokecolor="#e2e2e2">
              <v:stroke dashstyle="solid"/>
            </v:line>
            <v:line style="position:absolute" from="32,24" to="1277,24" stroked="true" strokeweight=".726607pt" strokecolor="#e2e2e2">
              <v:stroke dashstyle="solid"/>
            </v:line>
            <v:rect style="position:absolute;left:31;top:30;width:1245;height:449" filled="true" fillcolor="#efefef" stroked="false">
              <v:fill type="solid"/>
            </v:rect>
            <v:rect style="position:absolute;left:46;top:46;width:1216;height:419" filled="true" fillcolor="#efefef" stroked="false">
              <v:fill type="solid"/>
            </v:rect>
            <v:shape style="position:absolute;left:0;top:0;width:322;height:219" type="#_x0000_t75" stroked="false">
              <v:imagedata r:id="rId8" o:title=""/>
            </v:shape>
            <v:shape style="position:absolute;left:1;top:1;width:435;height:406" type="#_x0000_t75" stroked="false">
              <v:imagedata r:id="rId9" o:title=""/>
            </v:shape>
            <v:shape style="position:absolute;left:31;top:31;width:1261;height:449" type="#_x0000_t202" filled="false" stroked="false">
              <v:textbox inset="0,0,0,0">
                <w:txbxContent>
                  <w:p>
                    <w:pPr>
                      <w:spacing w:before="137"/>
                      <w:ind w:left="89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35"/>
                        <w:sz w:val="17"/>
                      </w:rPr>
                      <w:t>Localizar (l)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type w:val="continuous"/>
      <w:pgSz w:w="16840" w:h="11910" w:orient="landscape"/>
      <w:pgMar w:top="1100" w:bottom="280" w:left="6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Heading1" w:type="paragraph">
    <w:name w:val="Heading 1"/>
    <w:basedOn w:val="Normal"/>
    <w:uiPriority w:val="1"/>
    <w:qFormat/>
    <w:pPr>
      <w:spacing w:before="12"/>
      <w:ind w:left="3498" w:right="2349"/>
      <w:jc w:val="center"/>
      <w:outlineLvl w:val="1"/>
    </w:pPr>
    <w:rPr>
      <w:rFonts w:ascii="Trebuchet MS" w:hAnsi="Trebuchet MS" w:eastAsia="Trebuchet MS" w:cs="Trebuchet MS"/>
      <w:b/>
      <w:bCs/>
      <w:sz w:val="24"/>
      <w:szCs w:val="24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before="3"/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2025-10-02T14:34:08Z</dcterms:created>
  <dcterms:modified xsi:type="dcterms:W3CDTF">2025-10-02T14:34:08Z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